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0" w:type="auto"/>
        <w:tblInd w:w="96" w:type="dxa"/>
        <w:tblLayout w:type="fixed"/>
        <w:tblCellMar>
          <w:top w:w="0" w:type="dxa"/>
          <w:left w:w="108" w:type="dxa"/>
          <w:bottom w:w="0" w:type="dxa"/>
          <w:right w:w="108" w:type="dxa"/>
        </w:tblCellMar>
      </w:tblPr>
      <w:tblGrid>
        <w:gridCol w:w="579"/>
        <w:gridCol w:w="1032"/>
        <w:gridCol w:w="8376"/>
        <w:gridCol w:w="1212"/>
        <w:gridCol w:w="1656"/>
      </w:tblGrid>
      <w:tr>
        <w:tblPrEx>
          <w:tblCellMar>
            <w:top w:w="0" w:type="dxa"/>
            <w:left w:w="108" w:type="dxa"/>
            <w:bottom w:w="0" w:type="dxa"/>
            <w:right w:w="108" w:type="dxa"/>
          </w:tblCellMar>
        </w:tblPrEx>
        <w:trPr>
          <w:trHeight w:val="444" w:hRule="atLeast"/>
        </w:trPr>
        <w:tc>
          <w:tcPr>
            <w:tcW w:w="12855" w:type="dxa"/>
            <w:gridSpan w:val="5"/>
            <w:tcBorders>
              <w:top w:val="nil"/>
              <w:left w:val="nil"/>
              <w:bottom w:val="single" w:color="000000" w:sz="4" w:space="0"/>
              <w:right w:val="nil"/>
            </w:tcBorders>
            <w:noWrap w:val="0"/>
            <w:vAlign w:val="center"/>
          </w:tcPr>
          <w:p>
            <w:pPr>
              <w:widowControl/>
              <w:spacing w:line="400" w:lineRule="exact"/>
              <w:jc w:val="left"/>
              <w:textAlignment w:val="center"/>
              <w:rPr>
                <w:rFonts w:hint="default" w:ascii="方正小标宋简体" w:hAnsi="方正小标宋简体" w:eastAsia="方正小标宋简体" w:cs="方正小标宋简体"/>
                <w:b/>
                <w:bCs/>
                <w:color w:val="000000"/>
                <w:kern w:val="0"/>
                <w:sz w:val="28"/>
                <w:szCs w:val="28"/>
                <w:lang w:val="en-US" w:eastAsia="zh-CN" w:bidi="ar"/>
              </w:rPr>
            </w:pPr>
            <w:r>
              <w:rPr>
                <w:rFonts w:hint="eastAsia" w:ascii="方正小标宋简体" w:hAnsi="方正小标宋简体" w:eastAsia="方正小标宋简体" w:cs="方正小标宋简体"/>
                <w:b/>
                <w:bCs/>
                <w:color w:val="000000"/>
                <w:kern w:val="0"/>
                <w:sz w:val="28"/>
                <w:szCs w:val="28"/>
                <w:lang w:eastAsia="zh-CN" w:bidi="ar"/>
              </w:rPr>
              <w:t>附件</w:t>
            </w:r>
            <w:r>
              <w:rPr>
                <w:rFonts w:hint="eastAsia" w:ascii="方正小标宋简体" w:hAnsi="方正小标宋简体" w:eastAsia="方正小标宋简体" w:cs="方正小标宋简体"/>
                <w:b/>
                <w:bCs/>
                <w:color w:val="000000"/>
                <w:kern w:val="0"/>
                <w:sz w:val="28"/>
                <w:szCs w:val="28"/>
                <w:lang w:val="en-US" w:eastAsia="zh-CN" w:bidi="ar"/>
              </w:rPr>
              <w:t>1</w:t>
            </w:r>
          </w:p>
          <w:p>
            <w:pPr>
              <w:widowControl/>
              <w:spacing w:line="400" w:lineRule="exact"/>
              <w:jc w:val="center"/>
              <w:textAlignment w:val="center"/>
              <w:rPr>
                <w:rFonts w:ascii="方正小标宋简体" w:hAnsi="方正小标宋简体" w:eastAsia="方正小标宋简体" w:cs="方正小标宋简体"/>
                <w:color w:val="000000"/>
                <w:sz w:val="18"/>
                <w:szCs w:val="18"/>
              </w:rPr>
            </w:pPr>
            <w:r>
              <w:rPr>
                <w:rFonts w:ascii="方正小标宋简体" w:hAnsi="方正小标宋简体" w:eastAsia="方正小标宋简体" w:cs="方正小标宋简体"/>
                <w:b/>
                <w:bCs/>
                <w:color w:val="000000"/>
                <w:kern w:val="0"/>
                <w:sz w:val="28"/>
                <w:szCs w:val="28"/>
                <w:lang w:bidi="ar"/>
              </w:rPr>
              <w:t>牡丹江市“十四五”数字政府建设实施方案重点任务责任分工表（</w:t>
            </w:r>
            <w:r>
              <w:rPr>
                <w:rFonts w:hint="eastAsia" w:ascii="方正小标宋简体" w:hAnsi="方正小标宋简体" w:eastAsia="方正小标宋简体" w:cs="方正小标宋简体"/>
                <w:b/>
                <w:bCs/>
                <w:color w:val="000000"/>
                <w:kern w:val="0"/>
                <w:sz w:val="28"/>
                <w:szCs w:val="28"/>
                <w:lang w:bidi="ar"/>
              </w:rPr>
              <w:t>方案</w:t>
            </w:r>
            <w:r>
              <w:rPr>
                <w:rFonts w:ascii="方正小标宋简体" w:hAnsi="方正小标宋简体" w:eastAsia="方正小标宋简体" w:cs="方正小标宋简体"/>
                <w:b/>
                <w:bCs/>
                <w:color w:val="000000"/>
                <w:kern w:val="0"/>
                <w:sz w:val="28"/>
                <w:szCs w:val="28"/>
                <w:lang w:bidi="ar"/>
              </w:rPr>
              <w:t>内容）</w:t>
            </w:r>
          </w:p>
        </w:tc>
      </w:tr>
      <w:tr>
        <w:tblPrEx>
          <w:tblCellMar>
            <w:top w:w="0" w:type="dxa"/>
            <w:left w:w="108" w:type="dxa"/>
            <w:bottom w:w="0" w:type="dxa"/>
            <w:right w:w="108" w:type="dxa"/>
          </w:tblCellMar>
        </w:tblPrEx>
        <w:trPr>
          <w:trHeight w:val="426" w:hRule="atLeast"/>
        </w:trPr>
        <w:tc>
          <w:tcPr>
            <w:tcW w:w="57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ascii="黑体" w:hAnsi="宋体" w:eastAsia="黑体" w:cs="黑体"/>
                <w:color w:val="000000"/>
                <w:sz w:val="18"/>
                <w:szCs w:val="18"/>
              </w:rPr>
            </w:pPr>
            <w:r>
              <w:rPr>
                <w:rFonts w:hint="eastAsia" w:ascii="黑体" w:hAnsi="宋体" w:eastAsia="黑体" w:cs="黑体"/>
                <w:color w:val="000000"/>
                <w:kern w:val="0"/>
                <w:sz w:val="18"/>
                <w:szCs w:val="18"/>
                <w:lang w:bidi="ar"/>
              </w:rPr>
              <w:t>序号</w:t>
            </w:r>
          </w:p>
        </w:tc>
        <w:tc>
          <w:tcPr>
            <w:tcW w:w="10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黑体" w:hAnsi="宋体" w:eastAsia="黑体" w:cs="黑体"/>
                <w:color w:val="000000"/>
                <w:sz w:val="18"/>
                <w:szCs w:val="18"/>
              </w:rPr>
            </w:pPr>
            <w:r>
              <w:rPr>
                <w:rFonts w:hint="eastAsia" w:ascii="黑体" w:hAnsi="宋体" w:eastAsia="黑体" w:cs="黑体"/>
                <w:color w:val="000000"/>
                <w:kern w:val="0"/>
                <w:sz w:val="18"/>
                <w:szCs w:val="18"/>
                <w:lang w:bidi="ar"/>
              </w:rPr>
              <w:t>方案内容</w:t>
            </w: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黑体" w:hAnsi="宋体" w:eastAsia="黑体" w:cs="黑体"/>
                <w:color w:val="000000"/>
                <w:sz w:val="18"/>
                <w:szCs w:val="18"/>
              </w:rPr>
            </w:pPr>
            <w:r>
              <w:rPr>
                <w:rFonts w:hint="eastAsia" w:ascii="黑体" w:hAnsi="宋体" w:eastAsia="黑体" w:cs="黑体"/>
                <w:color w:val="000000"/>
                <w:kern w:val="0"/>
                <w:sz w:val="18"/>
                <w:szCs w:val="18"/>
                <w:lang w:bidi="ar"/>
              </w:rPr>
              <w:t>重点任务</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黑体" w:hAnsi="宋体" w:eastAsia="黑体" w:cs="黑体"/>
                <w:color w:val="000000"/>
                <w:sz w:val="18"/>
                <w:szCs w:val="18"/>
              </w:rPr>
            </w:pPr>
            <w:r>
              <w:rPr>
                <w:rFonts w:hint="eastAsia" w:ascii="黑体" w:hAnsi="宋体" w:eastAsia="黑体" w:cs="黑体"/>
                <w:color w:val="000000"/>
                <w:kern w:val="0"/>
                <w:sz w:val="18"/>
                <w:szCs w:val="18"/>
                <w:lang w:bidi="ar"/>
              </w:rPr>
              <w:t>牵头单位</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黑体" w:hAnsi="宋体" w:eastAsia="黑体" w:cs="黑体"/>
                <w:color w:val="000000"/>
                <w:sz w:val="18"/>
                <w:szCs w:val="18"/>
              </w:rPr>
            </w:pPr>
            <w:r>
              <w:rPr>
                <w:rFonts w:hint="eastAsia" w:ascii="黑体" w:hAnsi="宋体" w:eastAsia="黑体" w:cs="黑体"/>
                <w:color w:val="000000"/>
                <w:kern w:val="0"/>
                <w:sz w:val="18"/>
                <w:szCs w:val="18"/>
                <w:lang w:bidi="ar"/>
              </w:rPr>
              <w:t>责任单位</w:t>
            </w:r>
          </w:p>
        </w:tc>
      </w:tr>
      <w:tr>
        <w:tblPrEx>
          <w:tblCellMar>
            <w:top w:w="0" w:type="dxa"/>
            <w:left w:w="108" w:type="dxa"/>
            <w:bottom w:w="0" w:type="dxa"/>
            <w:right w:w="108" w:type="dxa"/>
          </w:tblCellMar>
        </w:tblPrEx>
        <w:trPr>
          <w:trHeight w:val="90" w:hRule="atLeast"/>
        </w:trPr>
        <w:tc>
          <w:tcPr>
            <w:tcW w:w="12855"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r>
              <w:rPr>
                <w:rFonts w:hint="eastAsia" w:ascii="宋体" w:hAnsi="宋体"/>
                <w:b/>
                <w:bCs/>
                <w:color w:val="000000"/>
                <w:kern w:val="0"/>
                <w:sz w:val="18"/>
                <w:szCs w:val="18"/>
                <w:lang w:bidi="ar"/>
              </w:rPr>
              <w:t>二、“十四五”时期数字政府建设发展主要任务</w:t>
            </w:r>
          </w:p>
        </w:tc>
      </w:tr>
      <w:tr>
        <w:tblPrEx>
          <w:tblCellMar>
            <w:top w:w="0" w:type="dxa"/>
            <w:left w:w="108" w:type="dxa"/>
            <w:bottom w:w="0" w:type="dxa"/>
            <w:right w:w="108" w:type="dxa"/>
          </w:tblCellMar>
        </w:tblPrEx>
        <w:trPr>
          <w:trHeight w:val="348" w:hRule="atLeast"/>
        </w:trPr>
        <w:tc>
          <w:tcPr>
            <w:tcW w:w="12855"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r>
              <w:rPr>
                <w:rFonts w:hint="eastAsia" w:ascii="宋体" w:hAnsi="宋体"/>
                <w:b/>
                <w:bCs/>
                <w:color w:val="000000"/>
                <w:kern w:val="0"/>
                <w:sz w:val="18"/>
                <w:szCs w:val="18"/>
                <w:lang w:bidi="ar"/>
              </w:rPr>
              <w:t>(二)构建全市一体化数字基础设施体系</w:t>
            </w:r>
          </w:p>
        </w:tc>
      </w:tr>
      <w:tr>
        <w:tblPrEx>
          <w:tblCellMar>
            <w:top w:w="0" w:type="dxa"/>
            <w:left w:w="108" w:type="dxa"/>
            <w:bottom w:w="0" w:type="dxa"/>
            <w:right w:w="108" w:type="dxa"/>
          </w:tblCellMar>
        </w:tblPrEx>
        <w:trPr>
          <w:trHeight w:val="2276" w:hRule="atLeast"/>
        </w:trPr>
        <w:tc>
          <w:tcPr>
            <w:tcW w:w="57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1</w:t>
            </w:r>
          </w:p>
        </w:tc>
        <w:tc>
          <w:tcPr>
            <w:tcW w:w="103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Fonts w:hint="eastAsia" w:ascii="宋体" w:hAnsi="宋体"/>
                <w:color w:val="000000"/>
                <w:sz w:val="18"/>
                <w:szCs w:val="18"/>
              </w:rPr>
            </w:pPr>
            <w:r>
              <w:rPr>
                <w:rFonts w:hint="eastAsia" w:ascii="宋体" w:hAnsi="宋体"/>
                <w:color w:val="000000"/>
                <w:kern w:val="0"/>
                <w:sz w:val="18"/>
                <w:szCs w:val="18"/>
                <w:lang w:bidi="ar"/>
              </w:rPr>
              <w:t>1.提升全市政务网络支撑能力</w:t>
            </w: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Fonts w:hint="eastAsia" w:ascii="宋体" w:hAnsi="宋体"/>
                <w:color w:val="000000"/>
                <w:sz w:val="18"/>
                <w:szCs w:val="18"/>
              </w:rPr>
            </w:pPr>
            <w:r>
              <w:rPr>
                <w:rFonts w:hint="eastAsia" w:ascii="宋体" w:hAnsi="宋体"/>
                <w:color w:val="000000"/>
                <w:kern w:val="0"/>
                <w:sz w:val="18"/>
                <w:szCs w:val="18"/>
                <w:lang w:bidi="ar"/>
              </w:rPr>
              <w:t>　　提升电子政务外网骨干网支撑能力。按照国家、省电子政务外网相关要求，提升电子政务外网多业务承载能力。推动市、县城域网升级改造，提升网络覆盖范围，实现市、县(市）区、乡镇(街道)、村(社区)、网格五级政务部门全覆盖。增加网络带宽，实现数据、视频等多业务流量统一承载，满足不同单位、不同业务个性化的网络服务需求。推进非涉密业务专网与电子政务外网整合对接。分阶段推进非涉密业务专网(含国省垂直部署业务专网的市以下部分)向电子政务外网迁移整合或融合互联。除极特殊情况外，原则上不再新建专网专线</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市营商局</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市财政局</w:t>
            </w:r>
          </w:p>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中省市直各有关单位</w:t>
            </w:r>
          </w:p>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2352" w:hRule="atLeast"/>
        </w:trPr>
        <w:tc>
          <w:tcPr>
            <w:tcW w:w="57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c>
          <w:tcPr>
            <w:tcW w:w="103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rPr>
                <w:rFonts w:hint="eastAsia" w:ascii="宋体" w:hAnsi="宋体"/>
                <w:color w:val="000000"/>
                <w:sz w:val="18"/>
                <w:szCs w:val="18"/>
              </w:rPr>
            </w:pP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Fonts w:hint="eastAsia" w:ascii="宋体" w:hAnsi="宋体"/>
                <w:color w:val="000000"/>
                <w:sz w:val="18"/>
                <w:szCs w:val="18"/>
              </w:rPr>
            </w:pPr>
            <w:r>
              <w:rPr>
                <w:rFonts w:hint="eastAsia" w:ascii="宋体" w:hAnsi="宋体"/>
                <w:color w:val="000000"/>
                <w:kern w:val="0"/>
                <w:sz w:val="18"/>
                <w:szCs w:val="18"/>
                <w:lang w:bidi="ar"/>
              </w:rPr>
              <w:t>　　加快网络新型基础设施在电子政务外网中应用。依托5G和移动互联网等新一代移动通信技术，补充增强现有政务网络资源，提升电子政务外网无线服务能力。按照国家、省电子政务外网体系边界互联管理规范，推动物联网、移动网与电子政务外网的融合互联。有序推进市电子政务内网优化升级。按需拓展网络覆盖范围，建立电子政务内网和外网间的信息安全交换机制。强化电子政务网络安全管理与防护。充分利用密码技术，建立安全可信的网络传输通道和防篡改、可追溯的网络信任环境。探索应用量子通信、区块链网络等新技术</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市营商局</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市委保密和机要局</w:t>
            </w:r>
          </w:p>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市财政局</w:t>
            </w:r>
          </w:p>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中省市直各有关单位</w:t>
            </w:r>
          </w:p>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3074" w:hRule="atLeast"/>
        </w:trPr>
        <w:tc>
          <w:tcPr>
            <w:tcW w:w="57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2</w:t>
            </w:r>
          </w:p>
        </w:tc>
        <w:tc>
          <w:tcPr>
            <w:tcW w:w="10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Fonts w:hint="eastAsia" w:ascii="宋体" w:hAnsi="宋体"/>
                <w:color w:val="000000"/>
                <w:sz w:val="18"/>
                <w:szCs w:val="18"/>
              </w:rPr>
            </w:pPr>
            <w:r>
              <w:rPr>
                <w:rFonts w:hint="eastAsia" w:ascii="宋体" w:hAnsi="宋体"/>
                <w:color w:val="000000"/>
                <w:kern w:val="0"/>
                <w:sz w:val="18"/>
                <w:szCs w:val="18"/>
                <w:lang w:bidi="ar"/>
              </w:rPr>
              <w:t>2.打造市级电子政务云平台</w:t>
            </w: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Fonts w:hint="eastAsia" w:ascii="宋体" w:hAnsi="宋体"/>
                <w:color w:val="000000"/>
                <w:sz w:val="18"/>
                <w:szCs w:val="18"/>
              </w:rPr>
            </w:pPr>
            <w:r>
              <w:rPr>
                <w:rFonts w:hint="eastAsia" w:ascii="宋体" w:hAnsi="宋体"/>
                <w:color w:val="000000"/>
                <w:kern w:val="0"/>
                <w:sz w:val="18"/>
                <w:szCs w:val="18"/>
                <w:lang w:bidi="ar"/>
              </w:rPr>
              <w:t>　　建立完善政务云资源接入和一体化调度机制。在现有市级政务云资源基础上，按照“逻辑集中、物理分散、资源共享、安全可靠”的原则，搭建市级一体化政务云平台，提供“按需分配、按实结算”的基础软硬件服务，进一步提升资源利用率。持续增强市级政务云服务能力，推进计算、存储等服务资源扩容，增加安全密码防护服务。引入多云监管架构，推动全市政务云资源统一管理、灵活管控。持续推动政务信息系统上云迁移，推进部门实施“内部信息系统整合”，消除以科室名义存在的独立政务信息系统，引导“一部门一系统”建设。各级、各部门应充分利用政务云，除法律法规以及国家有关文件明确规定的，不再新建独立的机房或数据中心。统筹政务云灾备服务。探索使用省级容灾备份中心，提升基础设施利用效能，保障政务应用安全稳定运行</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市营商局</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市财政局</w:t>
            </w:r>
          </w:p>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中省市直各有关单位</w:t>
            </w:r>
          </w:p>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348" w:hRule="atLeast"/>
        </w:trPr>
        <w:tc>
          <w:tcPr>
            <w:tcW w:w="12855"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r>
              <w:rPr>
                <w:rFonts w:hint="eastAsia" w:ascii="宋体" w:hAnsi="宋体"/>
                <w:b/>
                <w:bCs/>
                <w:color w:val="000000"/>
                <w:kern w:val="0"/>
                <w:sz w:val="18"/>
                <w:szCs w:val="18"/>
                <w:lang w:bidi="ar"/>
              </w:rPr>
              <w:t>(三)构建全市一体化政务数据体系</w:t>
            </w:r>
          </w:p>
        </w:tc>
      </w:tr>
      <w:tr>
        <w:tblPrEx>
          <w:tblCellMar>
            <w:top w:w="0" w:type="dxa"/>
            <w:left w:w="108" w:type="dxa"/>
            <w:bottom w:w="0" w:type="dxa"/>
            <w:right w:w="108" w:type="dxa"/>
          </w:tblCellMar>
        </w:tblPrEx>
        <w:trPr>
          <w:trHeight w:val="3566" w:hRule="atLeast"/>
        </w:trPr>
        <w:tc>
          <w:tcPr>
            <w:tcW w:w="57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3</w:t>
            </w:r>
          </w:p>
        </w:tc>
        <w:tc>
          <w:tcPr>
            <w:tcW w:w="10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textAlignment w:val="center"/>
              <w:rPr>
                <w:rFonts w:hint="eastAsia" w:ascii="宋体" w:hAnsi="宋体"/>
                <w:color w:val="000000"/>
                <w:sz w:val="18"/>
                <w:szCs w:val="18"/>
              </w:rPr>
            </w:pPr>
            <w:r>
              <w:rPr>
                <w:rFonts w:hint="eastAsia" w:ascii="宋体" w:hAnsi="宋体"/>
                <w:color w:val="000000"/>
                <w:kern w:val="0"/>
                <w:sz w:val="18"/>
                <w:szCs w:val="18"/>
                <w:lang w:bidi="ar"/>
              </w:rPr>
              <w:t>1.建立全生命周期政务数据资源管理模式</w:t>
            </w: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textAlignment w:val="center"/>
              <w:rPr>
                <w:rFonts w:hint="eastAsia" w:ascii="宋体" w:hAnsi="宋体"/>
                <w:color w:val="000000"/>
                <w:sz w:val="18"/>
                <w:szCs w:val="18"/>
              </w:rPr>
            </w:pPr>
            <w:r>
              <w:rPr>
                <w:rFonts w:hint="eastAsia" w:ascii="宋体" w:hAnsi="宋体"/>
                <w:color w:val="000000"/>
                <w:kern w:val="0"/>
                <w:sz w:val="18"/>
                <w:szCs w:val="18"/>
                <w:lang w:bidi="ar"/>
              </w:rPr>
              <w:t>开展政务数据资源普查工作。面向全市各级政务部门开展政务数据资源普查工作，摸清全市现有政务信息系统和政务数据资源底数，形成全市统一的系统清单和数据清单，实现对政务数据资源产生、采集、存储、共享、使用、反馈等环节全流程管理。完善政务数据资源目录。组织各级、各部门梳理形成衔接一致、完整有效的政务数据资源目录，清晰界定数据采集、治理、共享责任。建立供需对接清单。以满足业务需求为目标，编制全市政务数据供需对接清单，实现数据供需有效对接和共享应用。加强政务数据质量管理。明确政务数据采集、汇聚、存储、共享等环节数据质量和职责要求，建立健全政务数据质量管理体系，实现一数一源、一源多用和一次采集、多方应用，保障数据的准确性、完整性、时效性和可用性。构筑政务数据安全防线。明确政务数据分级分类、数据审批流程、数据传输应用等重点环节安全要求，厘清相关主体安全保障责任与义务</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市营商局</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中省市直各有关单位</w:t>
            </w:r>
          </w:p>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4344" w:hRule="atLeast"/>
        </w:trPr>
        <w:tc>
          <w:tcPr>
            <w:tcW w:w="57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4</w:t>
            </w:r>
          </w:p>
        </w:tc>
        <w:tc>
          <w:tcPr>
            <w:tcW w:w="10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Fonts w:hint="eastAsia" w:ascii="宋体" w:hAnsi="宋体"/>
                <w:color w:val="000000"/>
                <w:sz w:val="18"/>
                <w:szCs w:val="18"/>
              </w:rPr>
            </w:pPr>
            <w:r>
              <w:rPr>
                <w:rFonts w:hint="eastAsia" w:ascii="宋体" w:hAnsi="宋体"/>
                <w:color w:val="000000"/>
                <w:kern w:val="0"/>
                <w:sz w:val="18"/>
                <w:szCs w:val="18"/>
                <w:lang w:bidi="ar"/>
              </w:rPr>
              <w:t>2.持续推进市一体化政务大数据平台建设</w:t>
            </w: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textAlignment w:val="center"/>
              <w:rPr>
                <w:rFonts w:hint="eastAsia" w:ascii="宋体" w:hAnsi="宋体"/>
                <w:color w:val="000000"/>
                <w:sz w:val="18"/>
                <w:szCs w:val="18"/>
              </w:rPr>
            </w:pPr>
            <w:r>
              <w:rPr>
                <w:rFonts w:hint="eastAsia" w:ascii="宋体" w:hAnsi="宋体"/>
                <w:color w:val="000000"/>
                <w:kern w:val="0"/>
                <w:sz w:val="18"/>
                <w:szCs w:val="18"/>
                <w:lang w:bidi="ar"/>
              </w:rPr>
              <w:t>强化支撑能力建设。完善全市一体化政务大数据平台支撑能力，加强数据共享、数据治理、数据管理、数据分析等公共支撑能力建设，为各级、各部门提供数据共享通道以及产品化、标准化的统一能力支撑。加强基础数据库建设。按照“共建共享共用”的原则，进一步整合优化相关数据资源，完善自然人、法人、自然资源和地理空间、电子证照、信用等基础数据库，建立数据更新联动运维机制，强化数据质量管理和融合应用，不断提升基础数据库建设应用水平。优化完善专题库、主题库建设。以多领域数据融合为手段，按照“依职能应采尽采”的原则，依托市直部门现有业务系统及相关数据库，进一步完善各业务专题库、主题库建设，逐步解决部门内部数据资源碎片化问题。推动政务数据按需归集。按照“按需归集、应归尽归”的原则，推动党委、人大、政协、法院、检察院等机构数据和医疗、教育、环保、城乡建设、水电气等行业数据归集与共享。依托一体化政务大数据平台，实现政务数据资源按地域授权管理。探索建立政府统一购买社会数据的模式。由各级政务数据管理部门按需统一采购具有高频共性需求的社会数据，各部门统一使用，促进政务数据和社会数据融合治理、融合应用</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市营商局</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市公安局</w:t>
            </w:r>
          </w:p>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市自然资源局</w:t>
            </w:r>
          </w:p>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市市场监管局</w:t>
            </w:r>
          </w:p>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90" w:hRule="atLeast"/>
        </w:trPr>
        <w:tc>
          <w:tcPr>
            <w:tcW w:w="57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5</w:t>
            </w:r>
          </w:p>
        </w:tc>
        <w:tc>
          <w:tcPr>
            <w:tcW w:w="10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textAlignment w:val="center"/>
              <w:rPr>
                <w:rFonts w:hint="eastAsia" w:ascii="宋体" w:hAnsi="宋体"/>
                <w:color w:val="000000"/>
                <w:sz w:val="18"/>
                <w:szCs w:val="18"/>
              </w:rPr>
            </w:pPr>
            <w:r>
              <w:rPr>
                <w:rFonts w:hint="eastAsia" w:ascii="宋体" w:hAnsi="宋体"/>
                <w:color w:val="000000"/>
                <w:kern w:val="0"/>
                <w:sz w:val="18"/>
                <w:szCs w:val="18"/>
                <w:lang w:bidi="ar"/>
              </w:rPr>
              <w:t>3.持续推进政务数据资源有效共享</w:t>
            </w: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textAlignment w:val="center"/>
              <w:rPr>
                <w:rFonts w:hint="eastAsia" w:ascii="宋体" w:hAnsi="宋体"/>
                <w:color w:val="000000"/>
                <w:sz w:val="18"/>
                <w:szCs w:val="18"/>
              </w:rPr>
            </w:pPr>
            <w:r>
              <w:rPr>
                <w:rFonts w:hint="eastAsia" w:ascii="宋体" w:hAnsi="宋体"/>
                <w:color w:val="000000"/>
                <w:kern w:val="0"/>
                <w:sz w:val="18"/>
                <w:szCs w:val="18"/>
                <w:lang w:bidi="ar"/>
              </w:rPr>
              <w:t>　　建立政务数据共享协调机制。加强全市政务数据共享统筹协调和服务管理水平，推进数据跨层级、跨地域、跨系统、跨部门、跨业务有序共享。依托全市一体化政务大数据平台，提升数据共享通道的支撑保障能力。除特殊情况外，各部门都应使用市级政务数据共享平台进行数据共享。联通省一体化政务服务平台和省数据共享交换平台，实现与国家、省之间的数据供需对接。按省要求建设数据高速共享通道，实现数据分钟级共享，加强全链路数据质量监控，建成高保障、高可用的数据供应链体系。逐步扩大政务数据共享范围。在确保数据安全的前提下，协调推进公共服务机构、相关企业及第三方平台数据等社会数据共享</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市营商局</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中省市直各有关单位</w:t>
            </w:r>
          </w:p>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2718" w:hRule="atLeast"/>
        </w:trPr>
        <w:tc>
          <w:tcPr>
            <w:tcW w:w="57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6</w:t>
            </w:r>
          </w:p>
        </w:tc>
        <w:tc>
          <w:tcPr>
            <w:tcW w:w="10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textAlignment w:val="center"/>
              <w:rPr>
                <w:rFonts w:hint="eastAsia" w:ascii="宋体" w:hAnsi="宋体"/>
                <w:color w:val="000000"/>
                <w:sz w:val="18"/>
                <w:szCs w:val="18"/>
              </w:rPr>
            </w:pPr>
            <w:r>
              <w:rPr>
                <w:rFonts w:hint="eastAsia" w:ascii="宋体" w:hAnsi="宋体"/>
                <w:color w:val="000000"/>
                <w:kern w:val="0"/>
                <w:sz w:val="18"/>
                <w:szCs w:val="18"/>
                <w:lang w:bidi="ar"/>
              </w:rPr>
              <w:t>4.有效发挥数据要素价值</w:t>
            </w: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textAlignment w:val="center"/>
              <w:rPr>
                <w:rFonts w:hint="eastAsia" w:ascii="宋体" w:hAnsi="宋体"/>
                <w:color w:val="000000"/>
                <w:sz w:val="18"/>
                <w:szCs w:val="18"/>
              </w:rPr>
            </w:pPr>
            <w:r>
              <w:rPr>
                <w:rFonts w:hint="eastAsia" w:ascii="宋体" w:hAnsi="宋体"/>
                <w:color w:val="000000"/>
                <w:kern w:val="0"/>
                <w:sz w:val="18"/>
                <w:szCs w:val="18"/>
                <w:lang w:bidi="ar"/>
              </w:rPr>
              <w:t>　　推动公共数据资源有序开放。梳理全市各级政务部门数据开放目录，明确开放范围和开放领域，构建公共数据分级分类开放动态更新机制。建设全市统一公共数据开放平台，通过开放数据集、提供数据接口、数据沙箱等方式，优先推动对于民生服务、社会治理和产业发展具有重要价值的政务数据向社会开放。推动公共数据资源开发利用。探索建立公共数据定向开放、授权开放管理制度，健全公共数据融合和对接的标准规范，支持政企双方数据联合校验和模型对接，鼓励第三方深化对公共数据的挖掘利用，安全有序推进公共数据与社会数据的融合创新，有效满足政府社会治理、公共服务和市场化增值服务需求</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市营商局</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中省市直各有关单位</w:t>
            </w:r>
          </w:p>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348" w:hRule="atLeast"/>
        </w:trPr>
        <w:tc>
          <w:tcPr>
            <w:tcW w:w="12855"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r>
              <w:rPr>
                <w:rFonts w:hint="eastAsia" w:ascii="宋体" w:hAnsi="宋体"/>
                <w:b/>
                <w:bCs/>
                <w:color w:val="000000"/>
                <w:kern w:val="0"/>
                <w:sz w:val="18"/>
                <w:szCs w:val="18"/>
                <w:lang w:bidi="ar"/>
              </w:rPr>
              <w:t>(四)构建全市一体化公共支撑体系</w:t>
            </w:r>
          </w:p>
        </w:tc>
      </w:tr>
      <w:tr>
        <w:tblPrEx>
          <w:tblCellMar>
            <w:top w:w="0" w:type="dxa"/>
            <w:left w:w="108" w:type="dxa"/>
            <w:bottom w:w="0" w:type="dxa"/>
            <w:right w:w="108" w:type="dxa"/>
          </w:tblCellMar>
        </w:tblPrEx>
        <w:trPr>
          <w:trHeight w:val="2012" w:hRule="atLeast"/>
        </w:trPr>
        <w:tc>
          <w:tcPr>
            <w:tcW w:w="57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7</w:t>
            </w:r>
          </w:p>
        </w:tc>
        <w:tc>
          <w:tcPr>
            <w:tcW w:w="103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Fonts w:hint="eastAsia" w:ascii="宋体" w:hAnsi="宋体"/>
                <w:color w:val="000000"/>
                <w:sz w:val="18"/>
                <w:szCs w:val="18"/>
              </w:rPr>
            </w:pPr>
            <w:r>
              <w:rPr>
                <w:rFonts w:hint="eastAsia" w:ascii="宋体" w:hAnsi="宋体"/>
                <w:color w:val="000000"/>
                <w:kern w:val="0"/>
                <w:sz w:val="18"/>
                <w:szCs w:val="18"/>
                <w:lang w:bidi="ar"/>
              </w:rPr>
              <w:t>1.深化服务支撑能力建设</w:t>
            </w: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textAlignment w:val="center"/>
              <w:rPr>
                <w:rFonts w:hint="eastAsia" w:ascii="宋体" w:hAnsi="宋体"/>
                <w:color w:val="000000"/>
                <w:sz w:val="18"/>
                <w:szCs w:val="18"/>
              </w:rPr>
            </w:pPr>
            <w:r>
              <w:rPr>
                <w:rFonts w:hint="eastAsia" w:ascii="宋体" w:hAnsi="宋体"/>
                <w:color w:val="000000"/>
                <w:kern w:val="0"/>
                <w:sz w:val="18"/>
                <w:szCs w:val="18"/>
                <w:lang w:bidi="ar"/>
              </w:rPr>
              <w:t>　　建设统一电子印章系统。按照国家、省电子印章和电子签名标准规范，依托全市一体化在线政务服务平台，建设全市统一电子印章系统，为各级政务部门提供制章、用章、验章等有关服务。加强电子印章一体化应用，各级政务部门按统一标准规范对接电子印章系统，为电子印章在电子证照、电子文书、电子公文等业务中的应用提供支撑。积极探索电子签名创新应用，推广电子签名在高频政务服务场景的应用，有效减少企业、群众跑动次数，切实为基层减负</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市营商局</w:t>
            </w:r>
          </w:p>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市公安局</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2052" w:hRule="atLeast"/>
        </w:trPr>
        <w:tc>
          <w:tcPr>
            <w:tcW w:w="57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c>
          <w:tcPr>
            <w:tcW w:w="103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rPr>
                <w:rFonts w:hint="eastAsia" w:ascii="宋体" w:hAnsi="宋体"/>
                <w:color w:val="000000"/>
                <w:sz w:val="18"/>
                <w:szCs w:val="18"/>
              </w:rPr>
            </w:pP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textAlignment w:val="center"/>
              <w:rPr>
                <w:rFonts w:hint="eastAsia" w:ascii="宋体" w:hAnsi="宋体"/>
                <w:color w:val="000000"/>
                <w:sz w:val="18"/>
                <w:szCs w:val="18"/>
              </w:rPr>
            </w:pPr>
            <w:r>
              <w:rPr>
                <w:rFonts w:hint="eastAsia" w:ascii="宋体" w:hAnsi="宋体"/>
                <w:color w:val="000000"/>
                <w:kern w:val="0"/>
                <w:sz w:val="18"/>
                <w:szCs w:val="18"/>
                <w:lang w:bidi="ar"/>
              </w:rPr>
              <w:t>　　建设电子证照管理应用平台。基于区块链技术，建设电子证照管理应用平台，提供电子证照制证、用证服务。优化电子证照制发证体系，将制发证作为业务办理的必要环节，实现事项办理系统与电子证照库无缝融合。加强电子证照信息互认共享，推动电子证照在政务服务领域的全面应用，支持在线用证、线下用证、授权他人用证等用证形式，实现电子证照全应用政务服务事项、全关联办事材料清单、全接入各级政府办事窗口</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市营商局</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1426" w:hRule="atLeast"/>
        </w:trPr>
        <w:tc>
          <w:tcPr>
            <w:tcW w:w="57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8</w:t>
            </w:r>
          </w:p>
        </w:tc>
        <w:tc>
          <w:tcPr>
            <w:tcW w:w="10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textAlignment w:val="center"/>
              <w:rPr>
                <w:rFonts w:hint="eastAsia" w:ascii="宋体" w:hAnsi="宋体"/>
                <w:color w:val="000000"/>
                <w:sz w:val="18"/>
                <w:szCs w:val="18"/>
              </w:rPr>
            </w:pPr>
            <w:r>
              <w:rPr>
                <w:rFonts w:hint="eastAsia" w:ascii="宋体" w:hAnsi="宋体"/>
                <w:color w:val="000000"/>
                <w:kern w:val="0"/>
                <w:sz w:val="18"/>
                <w:szCs w:val="18"/>
                <w:lang w:bidi="ar"/>
              </w:rPr>
              <w:t>2.优化应用支撑能力建设</w:t>
            </w: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textAlignment w:val="center"/>
              <w:rPr>
                <w:rFonts w:hint="eastAsia" w:ascii="宋体" w:hAnsi="宋体"/>
                <w:color w:val="000000"/>
                <w:sz w:val="18"/>
                <w:szCs w:val="18"/>
              </w:rPr>
            </w:pPr>
            <w:r>
              <w:rPr>
                <w:rFonts w:hint="eastAsia" w:ascii="宋体" w:hAnsi="宋体"/>
                <w:color w:val="000000"/>
                <w:kern w:val="0"/>
                <w:sz w:val="18"/>
                <w:szCs w:val="18"/>
                <w:lang w:bidi="ar"/>
              </w:rPr>
              <w:t>　　加强公共信用信息平台建设。依托市公共信用信息平台，持续拓展自然人、企业、行政机关、事业单位、社会组织等信用主体信用信息归集。持续开发公共信用产品，重点推进信用报告、信用评价、信用档案等通用型信用产品开发与应用</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市营商局</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348" w:hRule="atLeast"/>
        </w:trPr>
        <w:tc>
          <w:tcPr>
            <w:tcW w:w="12855"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r>
              <w:rPr>
                <w:rFonts w:hint="eastAsia" w:ascii="宋体" w:hAnsi="宋体"/>
                <w:b/>
                <w:bCs/>
                <w:color w:val="000000"/>
                <w:kern w:val="0"/>
                <w:sz w:val="18"/>
                <w:szCs w:val="18"/>
                <w:lang w:bidi="ar"/>
              </w:rPr>
              <w:t>(五)构建全市一体化安全防护体系</w:t>
            </w:r>
          </w:p>
        </w:tc>
      </w:tr>
      <w:tr>
        <w:tblPrEx>
          <w:tblCellMar>
            <w:top w:w="0" w:type="dxa"/>
            <w:left w:w="108" w:type="dxa"/>
            <w:bottom w:w="0" w:type="dxa"/>
            <w:right w:w="108" w:type="dxa"/>
          </w:tblCellMar>
        </w:tblPrEx>
        <w:trPr>
          <w:trHeight w:val="3580" w:hRule="atLeast"/>
        </w:trPr>
        <w:tc>
          <w:tcPr>
            <w:tcW w:w="57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9</w:t>
            </w:r>
          </w:p>
        </w:tc>
        <w:tc>
          <w:tcPr>
            <w:tcW w:w="10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textAlignment w:val="center"/>
              <w:rPr>
                <w:rFonts w:hint="eastAsia" w:ascii="宋体" w:hAnsi="宋体"/>
                <w:color w:val="000000"/>
                <w:sz w:val="18"/>
                <w:szCs w:val="18"/>
              </w:rPr>
            </w:pPr>
            <w:r>
              <w:rPr>
                <w:rFonts w:hint="eastAsia" w:ascii="宋体" w:hAnsi="宋体"/>
                <w:color w:val="000000"/>
                <w:kern w:val="0"/>
                <w:sz w:val="18"/>
                <w:szCs w:val="18"/>
                <w:lang w:bidi="ar"/>
              </w:rPr>
              <w:t>1.提升安全保障能力</w:t>
            </w: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textAlignment w:val="center"/>
              <w:rPr>
                <w:rFonts w:hint="eastAsia" w:ascii="宋体" w:hAnsi="宋体"/>
                <w:color w:val="000000"/>
                <w:sz w:val="18"/>
                <w:szCs w:val="18"/>
              </w:rPr>
            </w:pPr>
            <w:r>
              <w:rPr>
                <w:rFonts w:hint="eastAsia" w:ascii="宋体" w:hAnsi="宋体"/>
                <w:color w:val="000000"/>
                <w:kern w:val="0"/>
                <w:sz w:val="18"/>
                <w:szCs w:val="18"/>
                <w:lang w:bidi="ar"/>
              </w:rPr>
              <w:t>　　强化基础设施安全防范能力。按照网络安全等级保护、关键基础设施网络安全保护要求，构建符合网络安全等级保护三级要求的安全防护体系，增强各级政务部门到政务云平台以及政务云平台的不同系统之间的安全防护能力，确保数字政府基础设施和公共支撑平台符合等级保护要求。完善密码基础设施建设，建立信任服务体系，为资源安全利用和行为可信提供支撑。强化安全防护技术支撑能力。加强数字政府密码应用服务能力，同步规划、同步建设、同步运行密码保障系统，推进政务信息化系统密码改造工作，并定期进行评估。完善应用安全体系，提高身份鉴别、访问控制、安全审计、运维服务、数据保护等安全防护能力，保障应用的全生命周期安全。构建国产化应用生态。规划建设国产化政务云，为各级政务部门应用系统开发部署提供高可靠、国产化的政务云服务。探索开展国产软件应用示范工作，优选国产化的政务信息化解决方案和产品，推进政务信息系统适配开发、改造与迁移</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市营商局</w:t>
            </w:r>
          </w:p>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市国家密码管理局</w:t>
            </w:r>
          </w:p>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市公安局</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中省市直各有关单位</w:t>
            </w:r>
          </w:p>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2008" w:hRule="atLeast"/>
        </w:trPr>
        <w:tc>
          <w:tcPr>
            <w:tcW w:w="57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10</w:t>
            </w:r>
          </w:p>
        </w:tc>
        <w:tc>
          <w:tcPr>
            <w:tcW w:w="10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textAlignment w:val="center"/>
              <w:rPr>
                <w:rFonts w:hint="eastAsia" w:ascii="宋体" w:hAnsi="宋体"/>
                <w:color w:val="000000"/>
                <w:sz w:val="18"/>
                <w:szCs w:val="18"/>
              </w:rPr>
            </w:pPr>
            <w:r>
              <w:rPr>
                <w:rFonts w:hint="eastAsia" w:ascii="宋体" w:hAnsi="宋体"/>
                <w:color w:val="000000"/>
                <w:kern w:val="0"/>
                <w:sz w:val="18"/>
                <w:szCs w:val="18"/>
                <w:lang w:bidi="ar"/>
              </w:rPr>
              <w:t>2.加强安全运营管理</w:t>
            </w: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textAlignment w:val="center"/>
              <w:rPr>
                <w:rFonts w:hint="eastAsia" w:ascii="宋体" w:hAnsi="宋体"/>
                <w:color w:val="000000"/>
                <w:sz w:val="18"/>
                <w:szCs w:val="18"/>
              </w:rPr>
            </w:pPr>
            <w:r>
              <w:rPr>
                <w:rFonts w:hint="eastAsia" w:ascii="宋体" w:hAnsi="宋体"/>
                <w:color w:val="000000"/>
                <w:kern w:val="0"/>
                <w:sz w:val="18"/>
                <w:szCs w:val="18"/>
                <w:lang w:bidi="ar"/>
              </w:rPr>
              <w:t>　　推进一体化安全运营。强化网络安全认证、检测、风险评估等安全服务，推进安全检测、态势感知能力建设，加强网络安全信息的汇聚和研判，提高我市整体网络安全运行监测预警、态势感知及应急处置能力。建立应急响应机制。制定网络安全应急预案。明确应急处置程序。定期开展网络安全应急演练，利用攻防实战演练检验各级、各部门网络安全防护能力，促进各级、各部门不断完善网络安全防御体系。强化个人数据隐私保护，制定落实数据安全制度规范，加强数据安全业务培训、技术防范和应急演练</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市营商局</w:t>
            </w:r>
          </w:p>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市委网信办市公安局</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中省市直各有关单位</w:t>
            </w:r>
          </w:p>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348" w:hRule="atLeast"/>
        </w:trPr>
        <w:tc>
          <w:tcPr>
            <w:tcW w:w="12855"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r>
              <w:rPr>
                <w:rFonts w:hint="eastAsia" w:ascii="宋体" w:hAnsi="宋体"/>
                <w:b/>
                <w:bCs/>
                <w:color w:val="000000"/>
                <w:kern w:val="0"/>
                <w:sz w:val="18"/>
                <w:szCs w:val="18"/>
                <w:lang w:bidi="ar"/>
              </w:rPr>
              <w:t>(六)构建智能高效的政府运行体系</w:t>
            </w:r>
          </w:p>
        </w:tc>
      </w:tr>
      <w:tr>
        <w:tblPrEx>
          <w:tblCellMar>
            <w:top w:w="0" w:type="dxa"/>
            <w:left w:w="108" w:type="dxa"/>
            <w:bottom w:w="0" w:type="dxa"/>
            <w:right w:w="108" w:type="dxa"/>
          </w:tblCellMar>
        </w:tblPrEx>
        <w:trPr>
          <w:trHeight w:val="2848" w:hRule="atLeast"/>
        </w:trPr>
        <w:tc>
          <w:tcPr>
            <w:tcW w:w="57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11</w:t>
            </w:r>
          </w:p>
        </w:tc>
        <w:tc>
          <w:tcPr>
            <w:tcW w:w="10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textAlignment w:val="center"/>
              <w:rPr>
                <w:rFonts w:hint="eastAsia" w:ascii="宋体" w:hAnsi="宋体"/>
                <w:color w:val="000000"/>
                <w:sz w:val="18"/>
                <w:szCs w:val="18"/>
              </w:rPr>
            </w:pPr>
            <w:r>
              <w:rPr>
                <w:rFonts w:hint="eastAsia" w:ascii="宋体" w:hAnsi="宋体"/>
                <w:color w:val="000000"/>
                <w:kern w:val="0"/>
                <w:sz w:val="18"/>
                <w:szCs w:val="18"/>
                <w:lang w:bidi="ar"/>
              </w:rPr>
              <w:t>1.政府门户网站集约化</w:t>
            </w: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textAlignment w:val="center"/>
              <w:rPr>
                <w:rFonts w:hint="eastAsia" w:ascii="宋体" w:hAnsi="宋体"/>
                <w:color w:val="000000"/>
                <w:sz w:val="18"/>
                <w:szCs w:val="18"/>
              </w:rPr>
            </w:pPr>
            <w:r>
              <w:rPr>
                <w:rFonts w:hint="eastAsia" w:ascii="宋体" w:hAnsi="宋体"/>
                <w:color w:val="000000"/>
                <w:kern w:val="0"/>
                <w:sz w:val="18"/>
                <w:szCs w:val="18"/>
                <w:lang w:bidi="ar"/>
              </w:rPr>
              <w:t>加快推进全市一体化政府网站集约化技术平台建设。按照国家、省关于政府网站集约化建设的有关要求，以市政府门户网站现有技术平台为基础，推进全市一体化政府网站集约化技术平台建设。深化信息发布、政务公开、政策解读、办事服务、互动交流等功能，为全市政府网站集约化建设提供支撑。以集约化建设推动政府网站整体服务水平提升。按照省统一指导意见，完成县（市）区、市直部门政府网站向市级集约化平台迁移。加快政府网站与各级政务服务平台深度融合。统一提供身份认证、事项管理、协同服务、咨询投诉等功能。加快推动全市政府网站问答知识库建设，与12345便民服务热线实现数据共享、问答统一。推进全市政府网站向移动终端、自助终端、政务新媒体等渠道延伸</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市政府办</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2270" w:hRule="atLeast"/>
        </w:trPr>
        <w:tc>
          <w:tcPr>
            <w:tcW w:w="57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12</w:t>
            </w:r>
          </w:p>
        </w:tc>
        <w:tc>
          <w:tcPr>
            <w:tcW w:w="10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textAlignment w:val="center"/>
              <w:rPr>
                <w:rFonts w:hint="eastAsia" w:ascii="宋体" w:hAnsi="宋体"/>
                <w:color w:val="000000"/>
                <w:sz w:val="18"/>
                <w:szCs w:val="18"/>
              </w:rPr>
            </w:pPr>
            <w:r>
              <w:rPr>
                <w:rFonts w:hint="eastAsia" w:ascii="宋体" w:hAnsi="宋体"/>
                <w:color w:val="000000"/>
                <w:kern w:val="0"/>
                <w:sz w:val="18"/>
                <w:szCs w:val="18"/>
                <w:lang w:bidi="ar"/>
              </w:rPr>
              <w:t>2.推动政务办公协同化</w:t>
            </w: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textAlignment w:val="center"/>
              <w:rPr>
                <w:rFonts w:hint="eastAsia" w:ascii="宋体" w:hAnsi="宋体"/>
                <w:color w:val="000000"/>
                <w:sz w:val="18"/>
                <w:szCs w:val="18"/>
              </w:rPr>
            </w:pPr>
            <w:r>
              <w:rPr>
                <w:rFonts w:hint="eastAsia" w:ascii="宋体" w:hAnsi="宋体"/>
                <w:color w:val="000000"/>
                <w:kern w:val="0"/>
                <w:sz w:val="18"/>
                <w:szCs w:val="18"/>
                <w:lang w:bidi="ar"/>
              </w:rPr>
              <w:t>积极推广应用全省“龙政通”“全省事”两大移动办公平台。使用“龙政通”满足政府日常办公需求，推动移动办公常态化、便利化，提高“指尖”办文、办会、办事水平。推动政府部门内部非涉密公文电子化流转，逐步减少纸质公文，形成线上闭环、跨地区、跨层级、跨部门业务协同。依托平台，快速搭建适应于跨部门、跨层级的业务流转与审批功能模块，实现快速组织相关政务部门与责任人，建立沟通群组、配置审批流程、组织视频会议，实现全过程留痕。推动对掌上审批、政府内部“一件事”等功能模块应用，开展个性化需求开发应用场景</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市政府办</w:t>
            </w:r>
          </w:p>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市营商局</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818" w:hRule="atLeast"/>
        </w:trPr>
        <w:tc>
          <w:tcPr>
            <w:tcW w:w="57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13</w:t>
            </w:r>
          </w:p>
        </w:tc>
        <w:tc>
          <w:tcPr>
            <w:tcW w:w="103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Fonts w:hint="eastAsia" w:ascii="宋体" w:hAnsi="宋体"/>
                <w:color w:val="000000"/>
                <w:sz w:val="18"/>
                <w:szCs w:val="18"/>
              </w:rPr>
            </w:pPr>
            <w:r>
              <w:rPr>
                <w:rFonts w:hint="eastAsia" w:ascii="宋体" w:hAnsi="宋体"/>
                <w:color w:val="000000"/>
                <w:kern w:val="0"/>
                <w:sz w:val="18"/>
                <w:szCs w:val="18"/>
                <w:lang w:bidi="ar"/>
              </w:rPr>
              <w:t>3.推进党政机关管理数字化</w:t>
            </w: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textAlignment w:val="center"/>
              <w:rPr>
                <w:rFonts w:hint="eastAsia" w:ascii="宋体" w:hAnsi="宋体"/>
                <w:color w:val="000000"/>
                <w:sz w:val="18"/>
                <w:szCs w:val="18"/>
              </w:rPr>
            </w:pPr>
            <w:r>
              <w:rPr>
                <w:rFonts w:hint="eastAsia" w:ascii="宋体" w:hAnsi="宋体"/>
                <w:color w:val="000000"/>
                <w:kern w:val="0"/>
                <w:sz w:val="18"/>
                <w:szCs w:val="18"/>
                <w:lang w:bidi="ar"/>
              </w:rPr>
              <w:t>深化数字财政建设。强化财政业务一体化集中管理，整合全市财政业务系统，推进全市财政核心业务上下贯通、横向协同和纵向集中，构建业务规范化、应用一体化、数据集中化的数字财政体系</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市财政局</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922" w:hRule="atLeast"/>
        </w:trPr>
        <w:tc>
          <w:tcPr>
            <w:tcW w:w="57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c>
          <w:tcPr>
            <w:tcW w:w="103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rPr>
                <w:rFonts w:hint="eastAsia" w:ascii="宋体" w:hAnsi="宋体"/>
                <w:color w:val="000000"/>
                <w:sz w:val="18"/>
                <w:szCs w:val="18"/>
              </w:rPr>
            </w:pP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textAlignment w:val="center"/>
              <w:rPr>
                <w:rFonts w:hint="eastAsia" w:ascii="宋体" w:hAnsi="宋体"/>
                <w:color w:val="000000"/>
                <w:sz w:val="18"/>
                <w:szCs w:val="18"/>
              </w:rPr>
            </w:pPr>
            <w:r>
              <w:rPr>
                <w:rFonts w:hint="eastAsia" w:ascii="宋体" w:hAnsi="宋体"/>
                <w:color w:val="000000"/>
                <w:kern w:val="0"/>
                <w:sz w:val="18"/>
                <w:szCs w:val="18"/>
                <w:lang w:bidi="ar"/>
              </w:rPr>
              <w:t>机关事务数字化。推进全市机关事务系统整合，加快政府部门办公用房、公务用车、公共机构节能等数字化进程，为节约型政府建设提供支撑</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市政府办</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1438" w:hRule="atLeast"/>
        </w:trPr>
        <w:tc>
          <w:tcPr>
            <w:tcW w:w="57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c>
          <w:tcPr>
            <w:tcW w:w="103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rPr>
                <w:rFonts w:hint="eastAsia" w:ascii="宋体" w:hAnsi="宋体"/>
                <w:color w:val="000000"/>
                <w:sz w:val="18"/>
                <w:szCs w:val="18"/>
              </w:rPr>
            </w:pP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textAlignment w:val="center"/>
              <w:rPr>
                <w:rFonts w:hint="eastAsia" w:ascii="宋体" w:hAnsi="宋体"/>
                <w:color w:val="000000"/>
                <w:sz w:val="18"/>
                <w:szCs w:val="18"/>
              </w:rPr>
            </w:pPr>
            <w:r>
              <w:rPr>
                <w:rFonts w:hint="eastAsia" w:ascii="宋体" w:hAnsi="宋体"/>
                <w:color w:val="000000"/>
                <w:kern w:val="0"/>
                <w:sz w:val="18"/>
                <w:szCs w:val="18"/>
                <w:lang w:bidi="ar"/>
              </w:rPr>
              <w:t>档案数字化。积极探索档案管理系统的研发和升级，提升档案信息化能力。各级各类档案馆（室）加快建成电子文件在线接收，开展电子文件归档、接收工作。全面纳入全省档案信息资源共享平台，实现省、市、县三级国家档案馆互联互通，推进档案信息资源跨层级、跨部门共享利用。</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市档案局</w:t>
            </w:r>
          </w:p>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市档案馆</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中省市直各有关单位</w:t>
            </w:r>
          </w:p>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2020" w:hRule="atLeast"/>
        </w:trPr>
        <w:tc>
          <w:tcPr>
            <w:tcW w:w="57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14</w:t>
            </w:r>
          </w:p>
        </w:tc>
        <w:tc>
          <w:tcPr>
            <w:tcW w:w="103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Fonts w:hint="eastAsia" w:ascii="宋体" w:hAnsi="宋体"/>
                <w:color w:val="000000"/>
                <w:sz w:val="18"/>
                <w:szCs w:val="18"/>
              </w:rPr>
            </w:pPr>
            <w:r>
              <w:rPr>
                <w:rFonts w:hint="eastAsia" w:ascii="宋体" w:hAnsi="宋体"/>
                <w:color w:val="000000"/>
                <w:kern w:val="0"/>
                <w:sz w:val="18"/>
                <w:szCs w:val="18"/>
                <w:lang w:bidi="ar"/>
              </w:rPr>
              <w:t>4.加强党政机关数字化建设</w:t>
            </w: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textAlignment w:val="center"/>
              <w:rPr>
                <w:rFonts w:hint="eastAsia" w:ascii="宋体" w:hAnsi="宋体"/>
                <w:color w:val="000000"/>
                <w:sz w:val="18"/>
                <w:szCs w:val="18"/>
              </w:rPr>
            </w:pPr>
            <w:r>
              <w:rPr>
                <w:rFonts w:hint="eastAsia" w:ascii="宋体" w:hAnsi="宋体"/>
                <w:color w:val="000000"/>
                <w:kern w:val="0"/>
                <w:sz w:val="18"/>
                <w:szCs w:val="18"/>
                <w:lang w:bidi="ar"/>
              </w:rPr>
              <w:t>智慧人大。实施“互联网+代表监督”，推进智慧人大建设。搭建人大会议服务、代表履职信息、议案建议办理和人大工作对外宣传等系统，打造软硬件设施齐全、功能完备的服务平台，为人大工作、代表履职提供高效服务。加强代表履职平台建设。充分发挥市、县、乡三级人大及其常委会的职能作用，切实建设好代表服务中心、代表之家、代表联络站等履职平台，畅通社情民意反映渠道，接地气、察民情、聚民智</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市人大</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r>
      <w:tr>
        <w:tblPrEx>
          <w:tblCellMar>
            <w:top w:w="0" w:type="dxa"/>
            <w:left w:w="108" w:type="dxa"/>
            <w:bottom w:w="0" w:type="dxa"/>
            <w:right w:w="108" w:type="dxa"/>
          </w:tblCellMar>
        </w:tblPrEx>
        <w:trPr>
          <w:trHeight w:val="898" w:hRule="atLeast"/>
        </w:trPr>
        <w:tc>
          <w:tcPr>
            <w:tcW w:w="57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c>
          <w:tcPr>
            <w:tcW w:w="103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rPr>
                <w:rFonts w:hint="eastAsia" w:ascii="宋体" w:hAnsi="宋体"/>
                <w:color w:val="000000"/>
                <w:sz w:val="18"/>
                <w:szCs w:val="18"/>
              </w:rPr>
            </w:pP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textAlignment w:val="center"/>
              <w:rPr>
                <w:rFonts w:hint="eastAsia" w:ascii="宋体" w:hAnsi="宋体"/>
                <w:color w:val="000000"/>
                <w:sz w:val="18"/>
                <w:szCs w:val="18"/>
              </w:rPr>
            </w:pPr>
            <w:r>
              <w:rPr>
                <w:rFonts w:hint="eastAsia" w:ascii="宋体" w:hAnsi="宋体"/>
                <w:color w:val="000000"/>
                <w:kern w:val="0"/>
                <w:sz w:val="18"/>
                <w:szCs w:val="18"/>
                <w:lang w:bidi="ar"/>
              </w:rPr>
              <w:t>智慧政协。创新履职形式，提高履职实效，围绕政协委员履职服务需求，打造集建言资政、新闻发布、履职管理和工作交流等功能于一体的“数字政协”平台</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市政协</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r>
      <w:tr>
        <w:tblPrEx>
          <w:tblCellMar>
            <w:top w:w="0" w:type="dxa"/>
            <w:left w:w="108" w:type="dxa"/>
            <w:bottom w:w="0" w:type="dxa"/>
            <w:right w:w="108" w:type="dxa"/>
          </w:tblCellMar>
        </w:tblPrEx>
        <w:trPr>
          <w:trHeight w:val="1728" w:hRule="atLeast"/>
        </w:trPr>
        <w:tc>
          <w:tcPr>
            <w:tcW w:w="57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c>
          <w:tcPr>
            <w:tcW w:w="103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rPr>
                <w:rFonts w:hint="eastAsia" w:ascii="宋体" w:hAnsi="宋体"/>
                <w:color w:val="000000"/>
                <w:sz w:val="18"/>
                <w:szCs w:val="18"/>
              </w:rPr>
            </w:pP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textAlignment w:val="center"/>
              <w:rPr>
                <w:rFonts w:hint="eastAsia" w:ascii="宋体" w:hAnsi="宋体"/>
                <w:color w:val="000000"/>
                <w:sz w:val="18"/>
                <w:szCs w:val="18"/>
              </w:rPr>
            </w:pPr>
            <w:r>
              <w:rPr>
                <w:rFonts w:hint="eastAsia" w:ascii="宋体" w:hAnsi="宋体"/>
                <w:color w:val="000000"/>
                <w:kern w:val="0"/>
                <w:sz w:val="18"/>
                <w:szCs w:val="18"/>
                <w:lang w:bidi="ar"/>
              </w:rPr>
              <w:t>智慧法院。加强智慧法院建设，全面推进审判体系和审判能力现代化，推进人民法院信息化4</w:t>
            </w:r>
            <w:r>
              <w:rPr>
                <w:rFonts w:hint="eastAsia" w:ascii="宋体" w:hAnsi="宋体"/>
                <w:color w:val="000000"/>
                <w:kern w:val="0"/>
                <w:sz w:val="18"/>
                <w:szCs w:val="18"/>
                <w:lang w:val="en-US" w:eastAsia="zh-CN" w:bidi="ar"/>
              </w:rPr>
              <w:t>.</w:t>
            </w:r>
            <w:r>
              <w:rPr>
                <w:rFonts w:hint="eastAsia" w:ascii="宋体" w:hAnsi="宋体"/>
                <w:color w:val="000000"/>
                <w:kern w:val="0"/>
                <w:sz w:val="18"/>
                <w:szCs w:val="18"/>
                <w:lang w:bidi="ar"/>
              </w:rPr>
              <w:t>0版建设，促进审判体系和审判能力现代化，推动新时代人民法院工作高质量发展</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市法院</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r>
      <w:tr>
        <w:tblPrEx>
          <w:tblCellMar>
            <w:top w:w="0" w:type="dxa"/>
            <w:left w:w="108" w:type="dxa"/>
            <w:bottom w:w="0" w:type="dxa"/>
            <w:right w:w="108" w:type="dxa"/>
          </w:tblCellMar>
        </w:tblPrEx>
        <w:trPr>
          <w:trHeight w:val="1576" w:hRule="atLeast"/>
        </w:trPr>
        <w:tc>
          <w:tcPr>
            <w:tcW w:w="57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c>
          <w:tcPr>
            <w:tcW w:w="103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rPr>
                <w:rFonts w:hint="eastAsia" w:ascii="宋体" w:hAnsi="宋体"/>
                <w:color w:val="000000"/>
                <w:sz w:val="18"/>
                <w:szCs w:val="18"/>
              </w:rPr>
            </w:pP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textAlignment w:val="center"/>
              <w:rPr>
                <w:rFonts w:hint="eastAsia" w:ascii="宋体" w:hAnsi="宋体"/>
                <w:color w:val="000000"/>
                <w:sz w:val="18"/>
                <w:szCs w:val="18"/>
              </w:rPr>
            </w:pPr>
            <w:r>
              <w:rPr>
                <w:rFonts w:hint="eastAsia" w:ascii="宋体" w:hAnsi="宋体"/>
                <w:color w:val="000000"/>
                <w:kern w:val="0"/>
                <w:sz w:val="18"/>
                <w:szCs w:val="18"/>
                <w:lang w:bidi="ar"/>
              </w:rPr>
              <w:t>智慧检察院。围绕“四大检察”在科技手段辅助检察办案上力求新发展；围绕便民利民在检务公开与服务上力求新作为；紧密围绕服务检察办案，充分发挥大数据、云计算、人工智能等信息技术，打造全业务智慧办案、全要素智慧管理、全方位智慧服务、全领域智慧支撑的智慧检务体系，为新时代检察工作转型升级提供有力支撑，引领助推检察工作高质量发展</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市检察院</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r>
      <w:tr>
        <w:tblPrEx>
          <w:tblCellMar>
            <w:top w:w="0" w:type="dxa"/>
            <w:left w:w="108" w:type="dxa"/>
            <w:bottom w:w="0" w:type="dxa"/>
            <w:right w:w="108" w:type="dxa"/>
          </w:tblCellMar>
        </w:tblPrEx>
        <w:trPr>
          <w:trHeight w:val="360" w:hRule="atLeast"/>
        </w:trPr>
        <w:tc>
          <w:tcPr>
            <w:tcW w:w="12855"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1" w:firstLineChars="200"/>
              <w:jc w:val="center"/>
              <w:rPr>
                <w:rFonts w:hint="eastAsia" w:ascii="宋体" w:hAnsi="宋体"/>
                <w:color w:val="000000"/>
                <w:sz w:val="18"/>
                <w:szCs w:val="18"/>
              </w:rPr>
            </w:pPr>
            <w:r>
              <w:rPr>
                <w:rFonts w:hint="eastAsia" w:ascii="宋体" w:hAnsi="宋体"/>
                <w:b/>
                <w:bCs/>
                <w:color w:val="000000"/>
                <w:kern w:val="0"/>
                <w:sz w:val="18"/>
                <w:szCs w:val="18"/>
                <w:lang w:bidi="ar"/>
              </w:rPr>
              <w:t>(七)强化便民惠企的公共服务体系</w:t>
            </w:r>
          </w:p>
        </w:tc>
      </w:tr>
      <w:tr>
        <w:tblPrEx>
          <w:tblCellMar>
            <w:top w:w="0" w:type="dxa"/>
            <w:left w:w="108" w:type="dxa"/>
            <w:bottom w:w="0" w:type="dxa"/>
            <w:right w:w="108" w:type="dxa"/>
          </w:tblCellMar>
        </w:tblPrEx>
        <w:trPr>
          <w:trHeight w:val="4004" w:hRule="atLeast"/>
        </w:trPr>
        <w:tc>
          <w:tcPr>
            <w:tcW w:w="57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15</w:t>
            </w:r>
          </w:p>
        </w:tc>
        <w:tc>
          <w:tcPr>
            <w:tcW w:w="103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Fonts w:hint="eastAsia" w:ascii="宋体" w:hAnsi="宋体"/>
                <w:color w:val="000000"/>
                <w:sz w:val="18"/>
                <w:szCs w:val="18"/>
              </w:rPr>
            </w:pPr>
            <w:r>
              <w:rPr>
                <w:rFonts w:hint="eastAsia" w:ascii="宋体" w:hAnsi="宋体"/>
                <w:color w:val="000000"/>
                <w:kern w:val="0"/>
                <w:sz w:val="18"/>
                <w:szCs w:val="18"/>
                <w:lang w:bidi="ar"/>
              </w:rPr>
              <w:t>1.推进政务服务“一网通办”</w:t>
            </w: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textAlignment w:val="center"/>
              <w:rPr>
                <w:rFonts w:hint="eastAsia" w:ascii="宋体" w:hAnsi="宋体"/>
                <w:color w:val="000000"/>
                <w:sz w:val="18"/>
                <w:szCs w:val="18"/>
              </w:rPr>
            </w:pPr>
            <w:r>
              <w:rPr>
                <w:rFonts w:hint="eastAsia" w:ascii="宋体" w:hAnsi="宋体"/>
                <w:color w:val="000000"/>
                <w:kern w:val="0"/>
                <w:sz w:val="18"/>
                <w:szCs w:val="18"/>
                <w:lang w:bidi="ar"/>
              </w:rPr>
              <w:t>推进政务服务事项标准化。按照国家、省有关要求，持续推进政务服务事项标准化工作，逐步实现同一事项无差别受理和同标准办理。聚焦教育、医疗、医保、住房、社保、民政等与群众日常生产生活密切相关领域，推进更多公共服务事项标准化。优化完善政务服务事项管理系统，有效支撑政务服务事项场景化、精细化、智能化管理。深化“办好一件事”服务。持续梳理“办好一件事”事项清单，不断推出“办好一件事”主题式服务，扩大“办好一件事”广度和深度。聚焦群众和企业办事便利度和满意度，推动再造业务审批流程，提升关联事项办理水平，实现智能、高效、便捷的“办好一件事”服务。持续推动“全省通办”。推动市直各部门梳理通办事项清单，统一事项名称、办理材料和业务流程，推动优化线上线下服务能力，实现更多政务服务事项“省内通办”，缩小区域、城乡、社会群体间的数字鸿沟。在全国高频政务服务“跨省通办”事项清单基础上，结合我市实际，不断拓展“跨省通办”事项广度和深度</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市营商局</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中省市直各有关单位</w:t>
            </w:r>
          </w:p>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4274" w:hRule="atLeast"/>
        </w:trPr>
        <w:tc>
          <w:tcPr>
            <w:tcW w:w="57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c>
          <w:tcPr>
            <w:tcW w:w="103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rPr>
                <w:rFonts w:hint="eastAsia" w:ascii="宋体" w:hAnsi="宋体"/>
                <w:color w:val="000000"/>
                <w:sz w:val="18"/>
                <w:szCs w:val="18"/>
              </w:rPr>
            </w:pP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textAlignment w:val="center"/>
              <w:rPr>
                <w:rFonts w:hint="eastAsia" w:ascii="宋体" w:hAnsi="宋体"/>
                <w:color w:val="000000"/>
                <w:sz w:val="18"/>
                <w:szCs w:val="18"/>
              </w:rPr>
            </w:pPr>
            <w:r>
              <w:rPr>
                <w:rFonts w:hint="eastAsia" w:ascii="宋体" w:hAnsi="宋体"/>
                <w:color w:val="000000"/>
                <w:kern w:val="0"/>
                <w:sz w:val="18"/>
                <w:szCs w:val="18"/>
                <w:lang w:bidi="ar"/>
              </w:rPr>
              <w:t>建设12345政务服务便民热线。建设集咨询、投诉、求助、建议、举报等功能为一体的全市12345热线服务运行平台，实现统一受理、按责转办、限时办结、统一督办、评价反馈、绩效管理、分析研判的业务闭环。加快推进政务服务便民热线整合归并，实现“一个号码”服务。持续提升政务服务便民热线运营能力，拓展智能知识库、智能客服等功能应用，提供全天候、智能化的精准服务。优化政务服务大厅办事体验。全面推行“一窗通办”，打造“前台综合受理、后台分类审批、统一窗口出件”的服务模式。围绕特殊群体的高频需求，加快数字化改造，为残疾人、老年人等群体提供便捷服务。打通政务服务“最后一公里”。建设覆盖全市政务服务大厅“7×24小时政务服务站”，推进政务服务事项的线下办理渠道向基层延伸，充分结合银行服务网点优势，推动高频政务服务事项入驻银行智能服务终端，使基层群众就近能办、多点可办</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市营商局</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中省市直各有关单位</w:t>
            </w:r>
          </w:p>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860" w:hRule="atLeast"/>
        </w:trPr>
        <w:tc>
          <w:tcPr>
            <w:tcW w:w="57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16</w:t>
            </w:r>
          </w:p>
        </w:tc>
        <w:tc>
          <w:tcPr>
            <w:tcW w:w="103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Fonts w:hint="eastAsia" w:ascii="宋体" w:hAnsi="宋体"/>
                <w:color w:val="000000"/>
                <w:sz w:val="18"/>
                <w:szCs w:val="18"/>
              </w:rPr>
            </w:pPr>
            <w:r>
              <w:rPr>
                <w:rFonts w:hint="eastAsia" w:ascii="宋体" w:hAnsi="宋体"/>
                <w:color w:val="000000"/>
                <w:kern w:val="0"/>
                <w:sz w:val="18"/>
                <w:szCs w:val="18"/>
                <w:lang w:bidi="ar"/>
              </w:rPr>
              <w:t>2.推动精准有效的惠企服务</w:t>
            </w: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textAlignment w:val="center"/>
              <w:rPr>
                <w:rFonts w:hint="eastAsia" w:ascii="宋体" w:hAnsi="宋体"/>
                <w:color w:val="000000"/>
                <w:sz w:val="18"/>
                <w:szCs w:val="18"/>
              </w:rPr>
            </w:pPr>
            <w:r>
              <w:rPr>
                <w:rFonts w:hint="eastAsia" w:ascii="宋体" w:hAnsi="宋体"/>
                <w:color w:val="000000"/>
                <w:kern w:val="0"/>
                <w:sz w:val="18"/>
                <w:szCs w:val="18"/>
                <w:lang w:bidi="ar"/>
              </w:rPr>
              <w:t>持续提升投资建设便利度。优化投资项目在线审批监管平台审批流程。加快与相关审批系统互联互通、数据共享</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市发改委</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市自然资源局</w:t>
            </w:r>
          </w:p>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市住建局</w:t>
            </w:r>
          </w:p>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市营商局</w:t>
            </w:r>
          </w:p>
        </w:tc>
      </w:tr>
      <w:tr>
        <w:tblPrEx>
          <w:tblCellMar>
            <w:top w:w="0" w:type="dxa"/>
            <w:left w:w="108" w:type="dxa"/>
            <w:bottom w:w="0" w:type="dxa"/>
            <w:right w:w="108" w:type="dxa"/>
          </w:tblCellMar>
        </w:tblPrEx>
        <w:trPr>
          <w:trHeight w:val="974" w:hRule="atLeast"/>
        </w:trPr>
        <w:tc>
          <w:tcPr>
            <w:tcW w:w="57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c>
          <w:tcPr>
            <w:tcW w:w="103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rPr>
                <w:rFonts w:hint="eastAsia" w:ascii="宋体" w:hAnsi="宋体"/>
                <w:color w:val="000000"/>
                <w:sz w:val="18"/>
                <w:szCs w:val="18"/>
              </w:rPr>
            </w:pP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textAlignment w:val="center"/>
              <w:rPr>
                <w:rFonts w:hint="eastAsia" w:ascii="宋体" w:hAnsi="宋体"/>
                <w:color w:val="000000"/>
                <w:sz w:val="18"/>
                <w:szCs w:val="18"/>
              </w:rPr>
            </w:pPr>
            <w:r>
              <w:rPr>
                <w:rFonts w:hint="eastAsia" w:ascii="宋体" w:hAnsi="宋体"/>
                <w:color w:val="000000"/>
                <w:kern w:val="0"/>
                <w:sz w:val="18"/>
                <w:szCs w:val="18"/>
                <w:lang w:bidi="ar"/>
              </w:rPr>
              <w:t>推进工程建设项目全流程在线审批、优化工程建设项目“一网通办”主题集成服务，实现信息一次填报、材料一次上传、相关评审意见和审批结果即时推送</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市住建局</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市发改委</w:t>
            </w:r>
          </w:p>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市自然资源局</w:t>
            </w:r>
          </w:p>
        </w:tc>
      </w:tr>
      <w:tr>
        <w:tblPrEx>
          <w:tblCellMar>
            <w:top w:w="0" w:type="dxa"/>
            <w:left w:w="108" w:type="dxa"/>
            <w:bottom w:w="0" w:type="dxa"/>
            <w:right w:w="108" w:type="dxa"/>
          </w:tblCellMar>
        </w:tblPrEx>
        <w:trPr>
          <w:trHeight w:val="2694" w:hRule="atLeast"/>
        </w:trPr>
        <w:tc>
          <w:tcPr>
            <w:tcW w:w="57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c>
          <w:tcPr>
            <w:tcW w:w="103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rPr>
                <w:rFonts w:hint="eastAsia" w:ascii="宋体" w:hAnsi="宋体"/>
                <w:color w:val="000000"/>
                <w:sz w:val="18"/>
                <w:szCs w:val="18"/>
              </w:rPr>
            </w:pP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textAlignment w:val="center"/>
              <w:rPr>
                <w:rFonts w:hint="eastAsia" w:ascii="宋体" w:hAnsi="宋体"/>
                <w:color w:val="000000"/>
                <w:sz w:val="18"/>
                <w:szCs w:val="18"/>
              </w:rPr>
            </w:pPr>
            <w:r>
              <w:rPr>
                <w:rFonts w:hint="eastAsia" w:ascii="宋体" w:hAnsi="宋体"/>
                <w:color w:val="000000"/>
                <w:kern w:val="0"/>
                <w:sz w:val="18"/>
                <w:szCs w:val="18"/>
                <w:lang w:bidi="ar"/>
              </w:rPr>
              <w:t>提升企业开办和注销便利度。深化企业开办“全程网办、一网通办”，实现企业开办线上“一表填报”、一次实名验证，线下“一个窗口”服务</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市市场监管局</w:t>
            </w:r>
          </w:p>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市营商局</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市公安局</w:t>
            </w:r>
          </w:p>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市人社局</w:t>
            </w:r>
          </w:p>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市住建局</w:t>
            </w:r>
          </w:p>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市医保局</w:t>
            </w:r>
          </w:p>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中国人民银行牡丹江市中心支行</w:t>
            </w:r>
          </w:p>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牡丹江海关</w:t>
            </w:r>
          </w:p>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市税务局</w:t>
            </w:r>
          </w:p>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1344" w:hRule="atLeast"/>
        </w:trPr>
        <w:tc>
          <w:tcPr>
            <w:tcW w:w="57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c>
          <w:tcPr>
            <w:tcW w:w="103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rPr>
                <w:rFonts w:hint="eastAsia" w:ascii="宋体" w:hAnsi="宋体"/>
                <w:color w:val="000000"/>
                <w:sz w:val="18"/>
                <w:szCs w:val="18"/>
              </w:rPr>
            </w:pP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textAlignment w:val="center"/>
              <w:rPr>
                <w:rFonts w:hint="eastAsia" w:ascii="宋体" w:hAnsi="宋体"/>
                <w:color w:val="000000"/>
                <w:sz w:val="18"/>
                <w:szCs w:val="18"/>
              </w:rPr>
            </w:pPr>
            <w:r>
              <w:rPr>
                <w:rFonts w:hint="eastAsia" w:ascii="宋体" w:hAnsi="宋体"/>
                <w:color w:val="000000"/>
                <w:kern w:val="0"/>
                <w:sz w:val="18"/>
                <w:szCs w:val="18"/>
                <w:lang w:bidi="ar"/>
              </w:rPr>
              <w:t>探索推进“一业一证”“一企一证”</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市市场监管局</w:t>
            </w:r>
          </w:p>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市司法局</w:t>
            </w:r>
          </w:p>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市营商局</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中省市直各有关单位</w:t>
            </w:r>
          </w:p>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2426" w:hRule="atLeast"/>
        </w:trPr>
        <w:tc>
          <w:tcPr>
            <w:tcW w:w="57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c>
          <w:tcPr>
            <w:tcW w:w="103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rPr>
                <w:rFonts w:hint="eastAsia" w:ascii="宋体" w:hAnsi="宋体"/>
                <w:color w:val="000000"/>
                <w:sz w:val="18"/>
                <w:szCs w:val="18"/>
              </w:rPr>
            </w:pP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textAlignment w:val="center"/>
              <w:rPr>
                <w:rFonts w:hint="eastAsia" w:ascii="宋体" w:hAnsi="宋体"/>
                <w:color w:val="000000"/>
                <w:sz w:val="18"/>
                <w:szCs w:val="18"/>
              </w:rPr>
            </w:pPr>
            <w:r>
              <w:rPr>
                <w:rFonts w:hint="eastAsia" w:ascii="宋体" w:hAnsi="宋体"/>
                <w:color w:val="000000"/>
                <w:kern w:val="0"/>
                <w:sz w:val="18"/>
                <w:szCs w:val="18"/>
                <w:lang w:bidi="ar"/>
              </w:rPr>
              <w:t>优化惠企政策兑现服务。加快推进实施惠企政策的部门数据共享，梳理公布惠企政策清单和服务指南，对企业申报政策实现一次申报、全程网办，实现惠企政策“应享尽享”“快速兑现”。推广惠企政策“免申即享”，实现符合条件的企业免予申报、直接享受政策</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市营商局</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中省市直各有关单位</w:t>
            </w:r>
          </w:p>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2196" w:hRule="atLeast"/>
        </w:trPr>
        <w:tc>
          <w:tcPr>
            <w:tcW w:w="57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c>
          <w:tcPr>
            <w:tcW w:w="103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rPr>
                <w:rFonts w:hint="eastAsia" w:ascii="宋体" w:hAnsi="宋体"/>
                <w:color w:val="000000"/>
                <w:sz w:val="18"/>
                <w:szCs w:val="18"/>
              </w:rPr>
            </w:pP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textAlignment w:val="center"/>
              <w:rPr>
                <w:rFonts w:hint="eastAsia" w:ascii="宋体" w:hAnsi="宋体"/>
                <w:color w:val="000000"/>
                <w:sz w:val="18"/>
                <w:szCs w:val="18"/>
              </w:rPr>
            </w:pPr>
            <w:r>
              <w:rPr>
                <w:rFonts w:hint="eastAsia" w:ascii="宋体" w:hAnsi="宋体"/>
                <w:color w:val="000000"/>
                <w:kern w:val="0"/>
                <w:sz w:val="18"/>
                <w:szCs w:val="18"/>
                <w:lang w:bidi="ar"/>
              </w:rPr>
              <w:t>提升智慧税务建设水平。构建线上服务与自助办税为主的办税新模式。充分运用大数据、云计算、人工智能、移动互联网等现代信息技术，着力推进内外部涉税数据汇聚联通、线上线下有机贯通，驱动税务执法、服务、监管制度创新和业务变革，进一步优化组织体系和资源配置。大力推广增值税电子发票使用，通过全国统一的电子发票服务平台，24小时在线免费为纳税人提供电子发票申领、开具、交付、查验等服务，逐步实现发票全领域、全环节、全要素电子化，着力降低制度性交易成本</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市税务局</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1742" w:hRule="atLeast"/>
        </w:trPr>
        <w:tc>
          <w:tcPr>
            <w:tcW w:w="57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c>
          <w:tcPr>
            <w:tcW w:w="103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rPr>
                <w:rFonts w:hint="eastAsia" w:ascii="宋体" w:hAnsi="宋体"/>
                <w:color w:val="000000"/>
                <w:sz w:val="18"/>
                <w:szCs w:val="18"/>
              </w:rPr>
            </w:pP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textAlignment w:val="center"/>
              <w:rPr>
                <w:rFonts w:hint="eastAsia" w:ascii="宋体" w:hAnsi="宋体"/>
                <w:color w:val="000000"/>
                <w:sz w:val="18"/>
                <w:szCs w:val="18"/>
              </w:rPr>
            </w:pPr>
            <w:r>
              <w:rPr>
                <w:rFonts w:hint="eastAsia" w:ascii="宋体" w:hAnsi="宋体"/>
                <w:color w:val="000000"/>
                <w:kern w:val="0"/>
                <w:sz w:val="18"/>
                <w:szCs w:val="18"/>
                <w:lang w:bidi="ar"/>
              </w:rPr>
              <w:t>提升通关便利化。持续推动口岸和国际贸易领域相关业务统一通过“单一窗口”办理，除涉密等特殊情况外，进出口环节涉及的监管证件和检验检疫证书,原则上均通过“单一窗口”一口受理，推动实现企业在线缴费、自主打印证件等，打造“一站式”贸易服务平台和跨境贸易大数据平台，推动通关信息电子化流转，简化通关作业流程</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市商务局</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牡丹江海关</w:t>
            </w:r>
          </w:p>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1684" w:hRule="atLeast"/>
        </w:trPr>
        <w:tc>
          <w:tcPr>
            <w:tcW w:w="57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c>
          <w:tcPr>
            <w:tcW w:w="103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rPr>
                <w:rFonts w:hint="eastAsia" w:ascii="宋体" w:hAnsi="宋体"/>
                <w:color w:val="000000"/>
                <w:sz w:val="18"/>
                <w:szCs w:val="18"/>
              </w:rPr>
            </w:pP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textAlignment w:val="center"/>
              <w:rPr>
                <w:rFonts w:hint="eastAsia" w:ascii="宋体" w:hAnsi="宋体"/>
                <w:color w:val="000000"/>
                <w:sz w:val="18"/>
                <w:szCs w:val="18"/>
              </w:rPr>
            </w:pPr>
            <w:r>
              <w:rPr>
                <w:rFonts w:hint="eastAsia" w:ascii="宋体" w:hAnsi="宋体"/>
                <w:color w:val="000000"/>
                <w:kern w:val="0"/>
                <w:sz w:val="18"/>
                <w:szCs w:val="18"/>
                <w:lang w:bidi="ar"/>
              </w:rPr>
              <w:t>深化知识产权信息服务。围绕知识产权的创造、运用、保护、管理、服务，实现商标、地理标志等业务网上办理，为企业、高校、科研院所、服务机构等对象开展多层次服务。优化知识产权数据管理和服务体系，推动数据互联共享，强化数据管理和使用成效。依托全省知识产权公共服务平台，优化知识产权维权服务，提升维权服务效能</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市市场监管局</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2912" w:hRule="atLeast"/>
        </w:trPr>
        <w:tc>
          <w:tcPr>
            <w:tcW w:w="579" w:type="dxa"/>
            <w:vMerge w:val="restart"/>
            <w:tcBorders>
              <w:top w:val="single" w:color="000000" w:sz="4" w:space="0"/>
              <w:left w:val="single" w:color="000000" w:sz="4" w:space="0"/>
              <w:bottom w:val="nil"/>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17</w:t>
            </w:r>
          </w:p>
        </w:tc>
        <w:tc>
          <w:tcPr>
            <w:tcW w:w="103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3.推行智慧普惠的便民服务</w:t>
            </w: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textAlignment w:val="center"/>
              <w:rPr>
                <w:rFonts w:hint="eastAsia" w:ascii="宋体" w:hAnsi="宋体"/>
                <w:color w:val="000000"/>
                <w:sz w:val="18"/>
                <w:szCs w:val="18"/>
              </w:rPr>
            </w:pPr>
            <w:r>
              <w:rPr>
                <w:rFonts w:hint="eastAsia" w:ascii="宋体" w:hAnsi="宋体"/>
                <w:color w:val="000000"/>
                <w:kern w:val="0"/>
                <w:sz w:val="18"/>
                <w:szCs w:val="18"/>
                <w:lang w:bidi="ar"/>
              </w:rPr>
              <w:t>加快推动“互联网+医疗健康养老”建设。统筹推进全民健康信息平台建设工程。积极完善健康档案、电子病历、全员人口、卫生资源、疾病知识数据库及信息技术标准代码库等基础数据库，实现健康相关数据全面汇聚与共享。推进互联网医疗健康惠民服务工程。依托各级全民健康信息平台增加服务内容、提高服务等级，全面与医保等其他行业协同。推进远程医疗服务工程。依托各级区域健康信息平台，积极推进多学科远程医疗体系建设。积极推进区域医疗技术专业平台建设，依托省级影像云平台，逐步建立各级专业会诊业务平台，全面推动医联体、医共体、互联网医院发展，为高端医疗资源下沉和基层机构医疗水平提升奠定坚实的基础</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市卫健委</w:t>
            </w:r>
          </w:p>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市医保局</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市民政局</w:t>
            </w:r>
          </w:p>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市人社局</w:t>
            </w:r>
          </w:p>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1736" w:hRule="atLeast"/>
        </w:trPr>
        <w:tc>
          <w:tcPr>
            <w:tcW w:w="579" w:type="dxa"/>
            <w:vMerge w:val="continue"/>
            <w:tcBorders>
              <w:top w:val="single" w:color="000000" w:sz="4" w:space="0"/>
              <w:left w:val="single" w:color="000000" w:sz="4" w:space="0"/>
              <w:bottom w:val="nil"/>
              <w:right w:val="single" w:color="000000" w:sz="4" w:space="0"/>
            </w:tcBorders>
            <w:noWrap w:val="0"/>
            <w:vAlign w:val="center"/>
          </w:tcPr>
          <w:p>
            <w:pPr>
              <w:widowControl/>
              <w:spacing w:line="400" w:lineRule="exact"/>
              <w:jc w:val="center"/>
              <w:rPr>
                <w:rFonts w:hint="eastAsia" w:ascii="宋体" w:hAnsi="宋体"/>
                <w:color w:val="000000"/>
                <w:sz w:val="18"/>
                <w:szCs w:val="18"/>
              </w:rPr>
            </w:pPr>
          </w:p>
        </w:tc>
        <w:tc>
          <w:tcPr>
            <w:tcW w:w="103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textAlignment w:val="center"/>
              <w:rPr>
                <w:rFonts w:hint="eastAsia" w:ascii="宋体" w:hAnsi="宋体"/>
                <w:color w:val="000000"/>
                <w:sz w:val="18"/>
                <w:szCs w:val="18"/>
              </w:rPr>
            </w:pPr>
            <w:r>
              <w:rPr>
                <w:rFonts w:hint="eastAsia" w:ascii="宋体" w:hAnsi="宋体"/>
                <w:color w:val="000000"/>
                <w:kern w:val="0"/>
                <w:sz w:val="18"/>
                <w:szCs w:val="18"/>
                <w:lang w:bidi="ar"/>
              </w:rPr>
              <w:t>加快推动“互联网+教育”一体化建设。通过“数字牡丹江”智慧教育项目建设，落实教育部《教育信息化2</w:t>
            </w:r>
            <w:r>
              <w:rPr>
                <w:rFonts w:hint="eastAsia" w:ascii="宋体" w:hAnsi="宋体"/>
                <w:color w:val="000000"/>
                <w:kern w:val="0"/>
                <w:sz w:val="18"/>
                <w:szCs w:val="18"/>
                <w:lang w:val="en-US" w:eastAsia="zh-CN" w:bidi="ar"/>
              </w:rPr>
              <w:t>.</w:t>
            </w:r>
            <w:r>
              <w:rPr>
                <w:rFonts w:hint="eastAsia" w:ascii="宋体" w:hAnsi="宋体"/>
                <w:color w:val="000000"/>
                <w:kern w:val="0"/>
                <w:sz w:val="18"/>
                <w:szCs w:val="18"/>
                <w:lang w:bidi="ar"/>
              </w:rPr>
              <w:t>0行动计划》总体要求，提升全市中小学光纤网络带宽，推进中小学校园无线网络覆盖；促进国家智慧教育平台应用，丰富优质线上教育教学资源；开展教育信息技术专题培训</w:t>
            </w:r>
            <w:r>
              <w:rPr>
                <w:rFonts w:hint="eastAsia" w:ascii="宋体" w:hAnsi="宋体"/>
                <w:color w:val="000000"/>
                <w:kern w:val="0"/>
                <w:sz w:val="18"/>
                <w:szCs w:val="18"/>
                <w:lang w:eastAsia="zh-CN" w:bidi="ar"/>
              </w:rPr>
              <w:t>；</w:t>
            </w:r>
            <w:r>
              <w:rPr>
                <w:rFonts w:hint="eastAsia" w:ascii="宋体" w:hAnsi="宋体"/>
                <w:color w:val="000000"/>
                <w:kern w:val="0"/>
                <w:sz w:val="18"/>
                <w:szCs w:val="18"/>
                <w:lang w:bidi="ar"/>
              </w:rPr>
              <w:t>实施全市中小学教师信息技术应用能力提升工程；提升城乡学校教师信息素养</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市教育局</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2552" w:hRule="atLeast"/>
        </w:trPr>
        <w:tc>
          <w:tcPr>
            <w:tcW w:w="579" w:type="dxa"/>
            <w:vMerge w:val="continue"/>
            <w:tcBorders>
              <w:top w:val="single" w:color="000000" w:sz="4" w:space="0"/>
              <w:left w:val="single" w:color="000000" w:sz="4" w:space="0"/>
              <w:bottom w:val="nil"/>
              <w:right w:val="single" w:color="000000" w:sz="4" w:space="0"/>
            </w:tcBorders>
            <w:noWrap w:val="0"/>
            <w:vAlign w:val="center"/>
          </w:tcPr>
          <w:p>
            <w:pPr>
              <w:widowControl/>
              <w:spacing w:line="400" w:lineRule="exact"/>
              <w:jc w:val="center"/>
              <w:rPr>
                <w:rFonts w:hint="eastAsia" w:ascii="宋体" w:hAnsi="宋体"/>
                <w:color w:val="000000"/>
                <w:sz w:val="18"/>
                <w:szCs w:val="18"/>
              </w:rPr>
            </w:pPr>
          </w:p>
        </w:tc>
        <w:tc>
          <w:tcPr>
            <w:tcW w:w="103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textAlignment w:val="center"/>
              <w:rPr>
                <w:rFonts w:hint="eastAsia" w:ascii="宋体" w:hAnsi="宋体"/>
                <w:color w:val="000000"/>
                <w:sz w:val="18"/>
                <w:szCs w:val="18"/>
              </w:rPr>
            </w:pPr>
            <w:r>
              <w:rPr>
                <w:rFonts w:hint="eastAsia" w:ascii="宋体" w:hAnsi="宋体"/>
                <w:color w:val="000000"/>
                <w:kern w:val="0"/>
                <w:sz w:val="18"/>
                <w:szCs w:val="18"/>
                <w:lang w:bidi="ar"/>
              </w:rPr>
              <w:t>加快推动“互联网+人社”一体化建设。以全省集中一体化信息系统为支撑，以市级就业创业、社会保障、智慧招聘、劳动维权四个服务大厅信息化升级为牵动，按照“互联互通、数据共享、业务协同、流程再造”的原则，集中整合数据资源，简化优化业务流程，在全市人社系统推动“全数据共享、全服务上网、全业务用卡”。依托社会保障卡的身份认证、缴费支付、就医结算等功能，在人社领域实现身份凭证用卡、人社缴费凭卡、补贴待遇进卡、工伤结算持卡。按照省统一部署，推进就医购药、惠民惠农补贴资金发放等应用</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市人社局</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中省市直各有关单位</w:t>
            </w:r>
          </w:p>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2874" w:hRule="atLeast"/>
        </w:trPr>
        <w:tc>
          <w:tcPr>
            <w:tcW w:w="579" w:type="dxa"/>
            <w:tcBorders>
              <w:top w:val="nil"/>
              <w:left w:val="single" w:color="000000" w:sz="4" w:space="0"/>
              <w:bottom w:val="nil"/>
              <w:right w:val="single" w:color="000000" w:sz="4" w:space="0"/>
            </w:tcBorders>
            <w:noWrap w:val="0"/>
            <w:vAlign w:val="center"/>
          </w:tcPr>
          <w:p>
            <w:pPr>
              <w:widowControl/>
              <w:spacing w:line="400" w:lineRule="exact"/>
              <w:rPr>
                <w:rFonts w:hint="eastAsia" w:ascii="宋体" w:hAnsi="宋体"/>
                <w:color w:val="000000"/>
                <w:sz w:val="18"/>
                <w:szCs w:val="18"/>
              </w:rPr>
            </w:pPr>
          </w:p>
        </w:tc>
        <w:tc>
          <w:tcPr>
            <w:tcW w:w="103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textAlignment w:val="center"/>
              <w:rPr>
                <w:rFonts w:hint="eastAsia" w:ascii="宋体" w:hAnsi="宋体"/>
                <w:color w:val="000000"/>
                <w:sz w:val="18"/>
                <w:szCs w:val="18"/>
              </w:rPr>
            </w:pPr>
            <w:r>
              <w:rPr>
                <w:rFonts w:hint="eastAsia" w:ascii="宋体" w:hAnsi="宋体"/>
                <w:color w:val="000000"/>
                <w:kern w:val="0"/>
                <w:sz w:val="18"/>
                <w:szCs w:val="18"/>
                <w:lang w:bidi="ar"/>
              </w:rPr>
              <w:t>加快推动“互联网+医保”一体化建设。以全省统一的医疗保障信息平台为基础，发挥信息技术在医疗保障要素配置和治理中的作用，积极主动运用数字技术和互联网思维改进医疗保障服务，扩展医保电子凭证功能，推进医疗保障公共服务、经办管理、智能监控、宏观决策等系统建设和实施应用，高质量建设智慧医保、数字医保。明确纳入医保支付的“互联网+”医疗服务医保支付范围、条件、收费、结算标准、支付方式、总额指标管理，加强对“互联网+”医疗行为监管，形成比较完善的“互联网+”医保政策、服务和评价体系。健全“互联网+”医疗服务价格形成机制，实行价格政策分类管理，调整“互联网+”医疗服务价格，保持线上线下同类服务合理比价原则，针对服务特点细化价格政策</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市医保局</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1452" w:hRule="atLeast"/>
        </w:trPr>
        <w:tc>
          <w:tcPr>
            <w:tcW w:w="579" w:type="dxa"/>
            <w:vMerge w:val="restart"/>
            <w:tcBorders>
              <w:top w:val="nil"/>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c>
          <w:tcPr>
            <w:tcW w:w="103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textAlignment w:val="center"/>
              <w:rPr>
                <w:rFonts w:hint="eastAsia" w:ascii="宋体" w:hAnsi="宋体"/>
                <w:color w:val="000000"/>
                <w:sz w:val="18"/>
                <w:szCs w:val="18"/>
              </w:rPr>
            </w:pPr>
            <w:r>
              <w:rPr>
                <w:rFonts w:hint="eastAsia" w:ascii="宋体" w:hAnsi="宋体"/>
                <w:color w:val="000000"/>
                <w:kern w:val="0"/>
                <w:sz w:val="18"/>
                <w:szCs w:val="18"/>
                <w:lang w:bidi="ar"/>
              </w:rPr>
              <w:t>加快推动“互联网+民政”一体化建设。按照“深度融合、上下联动、纵横协同”的思路，建设一体化民政政务服务大系统，加强内部业务系统整合与数据归集共享，实现儿童福利、精准救助、婚姻管理、殡葬管理、社会组织法人登记、区划地名、社区治理、社工服务、慈善捐赠等一体化管理与服务</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市民政局</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2380" w:hRule="atLeast"/>
        </w:trPr>
        <w:tc>
          <w:tcPr>
            <w:tcW w:w="579" w:type="dxa"/>
            <w:vMerge w:val="continue"/>
            <w:tcBorders>
              <w:top w:val="nil"/>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c>
          <w:tcPr>
            <w:tcW w:w="103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textAlignment w:val="center"/>
              <w:rPr>
                <w:rFonts w:hint="eastAsia" w:ascii="宋体" w:hAnsi="宋体"/>
                <w:color w:val="000000"/>
                <w:sz w:val="18"/>
                <w:szCs w:val="18"/>
              </w:rPr>
            </w:pPr>
            <w:r>
              <w:rPr>
                <w:rFonts w:hint="eastAsia" w:ascii="宋体" w:hAnsi="宋体"/>
                <w:color w:val="000000"/>
                <w:kern w:val="0"/>
                <w:sz w:val="18"/>
                <w:szCs w:val="18"/>
                <w:lang w:bidi="ar"/>
              </w:rPr>
              <w:t>加快推动“互联网+退役军人服务”一体化建设。推进退役军人工作与信息化深度融合，构建“统一、智慧、融合、便捷、可靠”的退役军人事务信息化体系，促进服务管理创新和工作效能提升。推行“互联网+退役军人服务”，按照省统一安排，部署市级智慧化服务和“古田军号”APP应用，提供智能化、精准化、专享化创新服务应用，逐步实现身份核实、待遇保障、就业扶持、社会优待、信访投诉等服务“一网通办”。依托国家、省技术、平台、资源，推动建设全市退役军人综合管理平台，实现退役军人业务跨部门、跨层级协同合作</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市退役军人事务局</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中省市直各有关单位</w:t>
            </w:r>
          </w:p>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1328" w:hRule="atLeast"/>
        </w:trPr>
        <w:tc>
          <w:tcPr>
            <w:tcW w:w="579" w:type="dxa"/>
            <w:vMerge w:val="continue"/>
            <w:tcBorders>
              <w:top w:val="nil"/>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c>
          <w:tcPr>
            <w:tcW w:w="103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jc w:val="left"/>
              <w:textAlignment w:val="center"/>
              <w:rPr>
                <w:rFonts w:hint="eastAsia" w:ascii="宋体" w:hAnsi="宋体"/>
                <w:color w:val="000000"/>
                <w:sz w:val="18"/>
                <w:szCs w:val="18"/>
              </w:rPr>
            </w:pPr>
            <w:r>
              <w:rPr>
                <w:rFonts w:hint="eastAsia" w:ascii="宋体" w:hAnsi="宋体"/>
                <w:color w:val="000000"/>
                <w:kern w:val="0"/>
                <w:sz w:val="18"/>
                <w:szCs w:val="18"/>
                <w:lang w:bidi="ar"/>
              </w:rPr>
              <w:t>加快推动智慧法律服务建设。进一步提升公共法律服务实体、热线、网络平台基础设施建设，加快推进“三台”融合发展。推动公共法律服务与科技创新手段深度融合，着力打造“智慧法律服务”，尽快建成覆盖全业务、全时空的公共法律服务网络</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市司法局</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348" w:hRule="atLeast"/>
        </w:trPr>
        <w:tc>
          <w:tcPr>
            <w:tcW w:w="12855"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1" w:firstLineChars="200"/>
              <w:jc w:val="center"/>
              <w:rPr>
                <w:rFonts w:hint="eastAsia" w:ascii="宋体" w:hAnsi="宋体"/>
                <w:color w:val="000000"/>
                <w:sz w:val="18"/>
                <w:szCs w:val="18"/>
              </w:rPr>
            </w:pPr>
            <w:r>
              <w:rPr>
                <w:rFonts w:hint="eastAsia" w:ascii="宋体" w:hAnsi="宋体"/>
                <w:b/>
                <w:bCs/>
                <w:color w:val="000000"/>
                <w:kern w:val="0"/>
                <w:sz w:val="18"/>
                <w:szCs w:val="18"/>
                <w:lang w:bidi="ar"/>
              </w:rPr>
              <w:t>(八)建立公平公正的智慧监管体系</w:t>
            </w:r>
          </w:p>
        </w:tc>
      </w:tr>
      <w:tr>
        <w:tblPrEx>
          <w:tblCellMar>
            <w:top w:w="0" w:type="dxa"/>
            <w:left w:w="108" w:type="dxa"/>
            <w:bottom w:w="0" w:type="dxa"/>
            <w:right w:w="108" w:type="dxa"/>
          </w:tblCellMar>
        </w:tblPrEx>
        <w:trPr>
          <w:trHeight w:val="2512" w:hRule="atLeast"/>
        </w:trPr>
        <w:tc>
          <w:tcPr>
            <w:tcW w:w="57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18</w:t>
            </w:r>
          </w:p>
        </w:tc>
        <w:tc>
          <w:tcPr>
            <w:tcW w:w="10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textAlignment w:val="center"/>
              <w:rPr>
                <w:rFonts w:hint="eastAsia" w:ascii="宋体" w:hAnsi="宋体"/>
                <w:color w:val="000000"/>
                <w:sz w:val="18"/>
                <w:szCs w:val="18"/>
              </w:rPr>
            </w:pPr>
            <w:r>
              <w:rPr>
                <w:rFonts w:hint="eastAsia" w:ascii="宋体" w:hAnsi="宋体"/>
                <w:color w:val="000000"/>
                <w:kern w:val="0"/>
                <w:sz w:val="18"/>
                <w:szCs w:val="18"/>
                <w:lang w:bidi="ar"/>
              </w:rPr>
              <w:t>1.提升“互联网+监管”能力</w:t>
            </w: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textAlignment w:val="center"/>
              <w:rPr>
                <w:rFonts w:hint="eastAsia" w:ascii="宋体" w:hAnsi="宋体"/>
                <w:color w:val="000000"/>
                <w:sz w:val="18"/>
                <w:szCs w:val="18"/>
              </w:rPr>
            </w:pPr>
            <w:r>
              <w:rPr>
                <w:rFonts w:hint="eastAsia" w:ascii="宋体" w:hAnsi="宋体"/>
                <w:color w:val="000000"/>
                <w:kern w:val="0"/>
                <w:sz w:val="18"/>
                <w:szCs w:val="18"/>
                <w:lang w:bidi="ar"/>
              </w:rPr>
              <w:t>提升监管规范化、标准化水平。按照国家、省“互联网+监管”平台建设要求，全面认领各级、各部门职责范围内的监管事项，统一纳入“互联网+监管”系统管理并动态更新。加强监管信息归集共享和关联整合。建立“互联网+监管”系统与“双随机、一公开”系统及行政执法系统数据汇聚机制，联通公共信用信息平台、企业信用信息公示系统、12345热线服务运行平台等重要监管平台，建设完善监管事项、监管对象、监管行为、执法人员、信用信息、投诉举报等监管数据库，实现监管事项“应接尽接”，监管数据“应汇尽汇”。积极推进审批系统与监管系统互连互通，实现审批、监管全流程数字化和无缝衔接</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市营商局</w:t>
            </w:r>
          </w:p>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市司法局</w:t>
            </w:r>
          </w:p>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市市场监管局</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2024" w:hRule="atLeast"/>
        </w:trPr>
        <w:tc>
          <w:tcPr>
            <w:tcW w:w="579" w:type="dxa"/>
            <w:vMerge w:val="restart"/>
            <w:tcBorders>
              <w:top w:val="single" w:color="000000" w:sz="4" w:space="0"/>
              <w:left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19</w:t>
            </w:r>
          </w:p>
        </w:tc>
        <w:tc>
          <w:tcPr>
            <w:tcW w:w="1032" w:type="dxa"/>
            <w:vMerge w:val="restart"/>
            <w:tcBorders>
              <w:top w:val="single" w:color="000000" w:sz="4" w:space="0"/>
              <w:left w:val="single" w:color="000000" w:sz="4" w:space="0"/>
              <w:right w:val="single" w:color="000000" w:sz="4" w:space="0"/>
            </w:tcBorders>
            <w:noWrap w:val="0"/>
            <w:vAlign w:val="center"/>
          </w:tcPr>
          <w:p>
            <w:pPr>
              <w:widowControl/>
              <w:spacing w:line="400" w:lineRule="exact"/>
              <w:textAlignment w:val="center"/>
              <w:rPr>
                <w:rFonts w:hint="eastAsia" w:ascii="宋体" w:hAnsi="宋体"/>
                <w:color w:val="000000"/>
                <w:sz w:val="18"/>
                <w:szCs w:val="18"/>
              </w:rPr>
            </w:pPr>
            <w:r>
              <w:rPr>
                <w:rFonts w:hint="eastAsia" w:ascii="宋体" w:hAnsi="宋体"/>
                <w:color w:val="000000"/>
                <w:kern w:val="0"/>
                <w:sz w:val="18"/>
                <w:szCs w:val="18"/>
                <w:lang w:bidi="ar"/>
              </w:rPr>
              <w:t>2.提升市场数字化监管能力</w:t>
            </w: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641"/>
              <w:jc w:val="left"/>
              <w:rPr>
                <w:rFonts w:hint="eastAsia" w:ascii="宋体" w:hAnsi="宋体"/>
                <w:color w:val="000000"/>
                <w:sz w:val="18"/>
                <w:szCs w:val="18"/>
              </w:rPr>
            </w:pPr>
            <w:r>
              <w:rPr>
                <w:rFonts w:hint="eastAsia" w:ascii="宋体" w:hAnsi="宋体"/>
                <w:color w:val="000000"/>
                <w:kern w:val="0"/>
                <w:sz w:val="18"/>
                <w:szCs w:val="18"/>
                <w:lang w:bidi="ar"/>
              </w:rPr>
              <w:t>有效发挥“双随机、一公开”监管系统，建立健全跨部门随机抽查事项清单，以及覆盖市县两级、与随机抽查相对应的检查对象名录库和执法人员库，推动在市场监管领域联合“双随机、一公开”监管常态化、全覆盖。深化食品安全监管，推进食品安全电子监管体系，推进重点食品电子追溯系统建设。升级改造食品生产许可监管追溯管理系统，强化快速检测、监督风险预警功能应用，实现覆盖市县两级的监管相对人档案服务、日常监管服务、稽查执法服务和企业诚信服务。推进智慧药品监管。优化升级智慧药品监管系统，加快推动药品监管业务数据库建设，建立覆盖药品、医疗器械和化妆品全生命周期的品种档案，逐步实现“一品一档”“一企一档”</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市市场监管局</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90" w:hRule="atLeast"/>
        </w:trPr>
        <w:tc>
          <w:tcPr>
            <w:tcW w:w="579" w:type="dxa"/>
            <w:vMerge w:val="continue"/>
            <w:tcBorders>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p>
        </w:tc>
        <w:tc>
          <w:tcPr>
            <w:tcW w:w="1032" w:type="dxa"/>
            <w:vMerge w:val="continue"/>
            <w:tcBorders>
              <w:left w:val="single" w:color="000000" w:sz="4" w:space="0"/>
              <w:bottom w:val="single" w:color="000000" w:sz="4" w:space="0"/>
              <w:right w:val="single" w:color="000000" w:sz="4" w:space="0"/>
            </w:tcBorders>
            <w:noWrap w:val="0"/>
            <w:vAlign w:val="center"/>
          </w:tcPr>
          <w:p>
            <w:pPr>
              <w:widowControl/>
              <w:spacing w:line="400" w:lineRule="exact"/>
              <w:textAlignment w:val="center"/>
              <w:rPr>
                <w:rFonts w:hint="eastAsia" w:ascii="宋体" w:hAnsi="宋体"/>
                <w:color w:val="000000"/>
                <w:kern w:val="0"/>
                <w:sz w:val="18"/>
                <w:szCs w:val="18"/>
                <w:lang w:bidi="ar"/>
              </w:rPr>
            </w:pP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641"/>
              <w:jc w:val="left"/>
              <w:rPr>
                <w:rFonts w:hint="eastAsia" w:ascii="宋体" w:hAnsi="宋体"/>
                <w:color w:val="000000"/>
                <w:kern w:val="0"/>
                <w:sz w:val="18"/>
                <w:szCs w:val="18"/>
                <w:lang w:bidi="ar"/>
              </w:rPr>
            </w:pPr>
            <w:r>
              <w:rPr>
                <w:rFonts w:hint="eastAsia" w:ascii="宋体" w:hAnsi="宋体"/>
                <w:color w:val="000000"/>
                <w:kern w:val="0"/>
                <w:sz w:val="18"/>
                <w:szCs w:val="18"/>
                <w:lang w:bidi="ar"/>
              </w:rPr>
              <w:t>探索建立“区块链+市场监管”模式。积极构建市场主体协同监管“数据链”，实现市场监管、发改、税务、商务等业务市场监管与服务信息共享、资源共通、监管互动、协同联动</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市市场监管局</w:t>
            </w:r>
          </w:p>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市营商局</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1804" w:hRule="atLeast"/>
        </w:trPr>
        <w:tc>
          <w:tcPr>
            <w:tcW w:w="57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20</w:t>
            </w:r>
          </w:p>
        </w:tc>
        <w:tc>
          <w:tcPr>
            <w:tcW w:w="10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textAlignment w:val="center"/>
              <w:rPr>
                <w:rFonts w:hint="eastAsia" w:ascii="宋体" w:hAnsi="宋体"/>
                <w:color w:val="000000"/>
                <w:sz w:val="18"/>
                <w:szCs w:val="18"/>
              </w:rPr>
            </w:pPr>
            <w:r>
              <w:rPr>
                <w:rFonts w:hint="eastAsia" w:ascii="宋体" w:hAnsi="宋体"/>
                <w:color w:val="000000"/>
                <w:kern w:val="0"/>
                <w:sz w:val="18"/>
                <w:szCs w:val="18"/>
                <w:lang w:bidi="ar"/>
              </w:rPr>
              <w:t>3.推进行政执法监督数字化</w:t>
            </w: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textAlignment w:val="center"/>
              <w:rPr>
                <w:rFonts w:hint="eastAsia" w:ascii="宋体" w:hAnsi="宋体"/>
                <w:color w:val="000000"/>
                <w:sz w:val="18"/>
                <w:szCs w:val="18"/>
              </w:rPr>
            </w:pPr>
            <w:r>
              <w:rPr>
                <w:rFonts w:hint="eastAsia" w:ascii="宋体" w:hAnsi="宋体"/>
                <w:color w:val="000000"/>
                <w:kern w:val="0"/>
                <w:sz w:val="18"/>
                <w:szCs w:val="18"/>
                <w:lang w:bidi="ar"/>
              </w:rPr>
              <w:t>推进城市综合管理平台建设。整合改造现有的数字化城管平台，建立感知、分析、服务、指挥、监察等一体的城市综合管理服务平台，加快构建省、市、县三级平台体系，实现三级平台互联互通、数据同步、业务协同;以城市综合管理平台为支撑，加强对城市管理工作的统筹协调、指挥监督、综合评价，及时回应群众关切，有效解决城市运行、管理和服务中的各类问题，实现城市管理事项“一网通管”</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市住建局</w:t>
            </w:r>
          </w:p>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市城管局</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348" w:hRule="atLeast"/>
        </w:trPr>
        <w:tc>
          <w:tcPr>
            <w:tcW w:w="12855"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1" w:firstLineChars="200"/>
              <w:jc w:val="center"/>
              <w:rPr>
                <w:rFonts w:hint="eastAsia" w:ascii="宋体" w:hAnsi="宋体"/>
                <w:color w:val="000000"/>
                <w:sz w:val="18"/>
                <w:szCs w:val="18"/>
              </w:rPr>
            </w:pPr>
            <w:r>
              <w:rPr>
                <w:rFonts w:hint="eastAsia" w:ascii="宋体" w:hAnsi="宋体"/>
                <w:b/>
                <w:bCs/>
                <w:color w:val="000000"/>
                <w:kern w:val="0"/>
                <w:sz w:val="18"/>
                <w:szCs w:val="18"/>
                <w:lang w:bidi="ar"/>
              </w:rPr>
              <w:t>(九)构筑智能协同的生态银行体系</w:t>
            </w:r>
          </w:p>
        </w:tc>
      </w:tr>
      <w:tr>
        <w:tblPrEx>
          <w:tblCellMar>
            <w:top w:w="0" w:type="dxa"/>
            <w:left w:w="108" w:type="dxa"/>
            <w:bottom w:w="0" w:type="dxa"/>
            <w:right w:w="108" w:type="dxa"/>
          </w:tblCellMar>
        </w:tblPrEx>
        <w:trPr>
          <w:trHeight w:val="5652" w:hRule="atLeast"/>
        </w:trPr>
        <w:tc>
          <w:tcPr>
            <w:tcW w:w="57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21</w:t>
            </w:r>
          </w:p>
        </w:tc>
        <w:tc>
          <w:tcPr>
            <w:tcW w:w="10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textAlignment w:val="center"/>
              <w:rPr>
                <w:rFonts w:hint="eastAsia" w:ascii="宋体" w:hAnsi="宋体"/>
                <w:color w:val="000000"/>
                <w:sz w:val="18"/>
                <w:szCs w:val="18"/>
              </w:rPr>
            </w:pPr>
            <w:r>
              <w:rPr>
                <w:rFonts w:hint="eastAsia" w:ascii="宋体" w:hAnsi="宋体"/>
                <w:color w:val="000000"/>
                <w:kern w:val="0"/>
                <w:sz w:val="18"/>
                <w:szCs w:val="18"/>
                <w:lang w:bidi="ar"/>
              </w:rPr>
              <w:t>1.加强生态环境数字化治理</w:t>
            </w: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textAlignment w:val="center"/>
              <w:rPr>
                <w:rFonts w:hint="eastAsia" w:ascii="宋体" w:hAnsi="宋体"/>
                <w:color w:val="000000"/>
                <w:sz w:val="18"/>
                <w:szCs w:val="18"/>
              </w:rPr>
            </w:pPr>
            <w:r>
              <w:rPr>
                <w:rFonts w:hint="eastAsia" w:ascii="宋体" w:hAnsi="宋体"/>
                <w:color w:val="000000"/>
                <w:kern w:val="0"/>
                <w:sz w:val="18"/>
                <w:szCs w:val="18"/>
                <w:lang w:bidi="ar"/>
              </w:rPr>
              <w:t>持续增强绿色发展活力。优化国土空间开发保护格局，显著提升绿色低碳发展水平，基本形成生态环境承载力约束机制，能源资源配置更加合理、利用效率大幅提高，单位地区生产总值能源消耗降低率、生产总值二氧化碳排放下降率完成省下达任务，加快形成简约适度、绿色低碳的生活方式。明显改善环境质量。主要污染物减排完成省下达目标。全面改善空气质量，稳步提升水环境质量，初步恢复水生态功能，明显改善城乡人居环境。全市天更蓝、水更清、地更净，持续提升生态环境公众满意度。有效保障环境安全。巩固提升土壤安全利用水平，明显增强危险废物与新污染物环境风险防控能力，持续加强核与辐射环境安全监管，有效管控生态环境风险，有效保障环境健康。提升生态系统稳定性。稳步推进山水林田湖草系统修复，不减少生态空间管控区域，生态安全屏障更加牢固，有效保护生物多样性，生态质量指数保持稳定，不断增强生态系统服务功能。生态环境治理取得突破。深入推进生态文明制度改革，明显增强全民生态意识，基本形成现代化生态环境治理体系，加快补齐环境基础设施突出短板，加快生态环境监管数字化、智能化步伐，明显提升生态环境治理效能。建立功能全面、适应全市环境管理需要的环境信息应用平台。建设功能完善、互联互通、安全可靠的环境信息网络平台；实现污染源在线监控、环境监测信息综合管理等环保业务应用系统开发和推广应用；推进政务公开，逐步开展“一站式”便民服务</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市生态环境局</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2880" w:hRule="atLeast"/>
        </w:trPr>
        <w:tc>
          <w:tcPr>
            <w:tcW w:w="57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22</w:t>
            </w:r>
          </w:p>
        </w:tc>
        <w:tc>
          <w:tcPr>
            <w:tcW w:w="10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textAlignment w:val="center"/>
              <w:rPr>
                <w:rFonts w:hint="eastAsia" w:ascii="宋体" w:hAnsi="宋体"/>
                <w:color w:val="000000"/>
                <w:sz w:val="18"/>
                <w:szCs w:val="18"/>
              </w:rPr>
            </w:pPr>
            <w:r>
              <w:rPr>
                <w:rFonts w:hint="eastAsia" w:ascii="宋体" w:hAnsi="宋体"/>
                <w:color w:val="000000"/>
                <w:kern w:val="0"/>
                <w:sz w:val="18"/>
                <w:szCs w:val="18"/>
                <w:lang w:bidi="ar"/>
              </w:rPr>
              <w:t>2.推进自然资源数字化价值化</w:t>
            </w: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textAlignment w:val="center"/>
              <w:rPr>
                <w:rFonts w:hint="eastAsia" w:ascii="宋体" w:hAnsi="宋体"/>
                <w:color w:val="000000"/>
                <w:sz w:val="18"/>
                <w:szCs w:val="18"/>
              </w:rPr>
            </w:pPr>
            <w:r>
              <w:rPr>
                <w:rFonts w:hint="eastAsia" w:ascii="宋体" w:hAnsi="宋体"/>
                <w:color w:val="000000"/>
                <w:kern w:val="0"/>
                <w:sz w:val="18"/>
                <w:szCs w:val="18"/>
                <w:lang w:bidi="ar"/>
              </w:rPr>
              <w:t>依托自然资源与地理空间一张图基础数据库，建设自然资源专题数据库，主要包括自然资源政务服务、国土空间规划“一张图”、自然资源三维立体时空、黑土地保护监测监管、“地质云”核心、地质灾害监测预警和自然资源执法监察基础等数据库，支撑业务协同与数据共享。进一步完善自然资源政务管理与服务平台功能。重点推进空间规划“一张图”实施监督、自然资源资产管理（生态银行）、黑土地保护（田长制）、“智慧找矿”、生态修复及全域土地综合整治、地质灾害监测预警、执法监察动态监测等系统建设，为自然资源审批、监管、决策等提供全要素数据平台底座</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市自然资源局</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2400" w:hRule="atLeast"/>
        </w:trPr>
        <w:tc>
          <w:tcPr>
            <w:tcW w:w="57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23</w:t>
            </w:r>
          </w:p>
        </w:tc>
        <w:tc>
          <w:tcPr>
            <w:tcW w:w="103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textAlignment w:val="center"/>
              <w:rPr>
                <w:rFonts w:hint="eastAsia" w:ascii="宋体" w:hAnsi="宋体"/>
                <w:color w:val="000000"/>
                <w:sz w:val="18"/>
                <w:szCs w:val="18"/>
              </w:rPr>
            </w:pPr>
            <w:r>
              <w:rPr>
                <w:rFonts w:hint="eastAsia" w:ascii="宋体" w:hAnsi="宋体"/>
                <w:color w:val="000000"/>
                <w:kern w:val="0"/>
                <w:sz w:val="18"/>
                <w:szCs w:val="18"/>
                <w:lang w:bidi="ar"/>
              </w:rPr>
              <w:t>3.提高水利与林草智能化治理能力</w:t>
            </w: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textAlignment w:val="center"/>
              <w:rPr>
                <w:rFonts w:hint="eastAsia" w:ascii="宋体" w:hAnsi="宋体"/>
                <w:color w:val="000000"/>
                <w:sz w:val="18"/>
                <w:szCs w:val="18"/>
              </w:rPr>
            </w:pPr>
            <w:r>
              <w:rPr>
                <w:rFonts w:hint="eastAsia" w:ascii="宋体" w:hAnsi="宋体"/>
                <w:color w:val="000000"/>
                <w:kern w:val="0"/>
                <w:sz w:val="18"/>
                <w:szCs w:val="18"/>
                <w:lang w:bidi="ar"/>
              </w:rPr>
              <w:t>着力打造全市统一的水利一张图应用支撑平台。构建高效能智慧水利网，提升水旱灾害防御、水资源节约集约利用与优化配置、水资源保护和河湖健康保障、涉水事务监管、水政务协同与水利公共服务的智能化水平。优化升级河湖长制管理信息化建设。利用天、空、地、视频监控等智能感知技术，实现对河湖水体、岸线变化、涉水涉砂活动中各种违法违规行为的及时发现和持续跟踪。对大气环境、流域水环境监测、土壤环境、农村生态环境监测和生态红线监管、监测执法、污染源监管进行研判和深入挖掘，实现生态环境大数据定向化、精准化分析</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市水务局</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2532" w:hRule="atLeast"/>
        </w:trPr>
        <w:tc>
          <w:tcPr>
            <w:tcW w:w="57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c>
          <w:tcPr>
            <w:tcW w:w="103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rPr>
                <w:rFonts w:hint="eastAsia" w:ascii="宋体" w:hAnsi="宋体"/>
                <w:color w:val="000000"/>
                <w:sz w:val="18"/>
                <w:szCs w:val="18"/>
              </w:rPr>
            </w:pP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textAlignment w:val="center"/>
              <w:rPr>
                <w:rFonts w:hint="eastAsia" w:ascii="宋体" w:hAnsi="宋体"/>
                <w:color w:val="000000"/>
                <w:sz w:val="18"/>
                <w:szCs w:val="18"/>
              </w:rPr>
            </w:pPr>
            <w:r>
              <w:rPr>
                <w:rFonts w:hint="eastAsia" w:ascii="宋体" w:hAnsi="宋体"/>
                <w:color w:val="000000"/>
                <w:kern w:val="0"/>
                <w:sz w:val="18"/>
                <w:szCs w:val="18"/>
                <w:lang w:bidi="ar"/>
              </w:rPr>
              <w:t>以全省林草大数据中心为载体，深化对数字林草应用，全面提升林草生态建设数字科技支撑水平。全方位应用卫星监测系统和智能化火灾防控技术，在森林草原防火深度应用上延伸。统筹遥感数据处理，加强重点区域、重点防疫对象的监测，精准定位病虫害发生范围，在病虫害防治深度应用上延伸。深化“落地上图”系统对接，提高“落地上图”工作效率，实现设计、生产、验收、管理智能化，在造林绿化深度应用上延伸。用好时空大数据平台，提高资源监测卫片判读精准度和利用率，实现资源智能化管控，在资源监测深度应用上延伸</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市林草局</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348" w:hRule="atLeast"/>
        </w:trPr>
        <w:tc>
          <w:tcPr>
            <w:tcW w:w="12855"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1" w:firstLineChars="200"/>
              <w:jc w:val="center"/>
              <w:rPr>
                <w:rFonts w:hint="eastAsia" w:ascii="宋体" w:hAnsi="宋体"/>
                <w:color w:val="000000"/>
                <w:sz w:val="18"/>
                <w:szCs w:val="18"/>
              </w:rPr>
            </w:pPr>
            <w:r>
              <w:rPr>
                <w:rFonts w:hint="eastAsia" w:ascii="宋体" w:hAnsi="宋体"/>
                <w:b/>
                <w:bCs/>
                <w:color w:val="000000"/>
                <w:kern w:val="0"/>
                <w:sz w:val="18"/>
                <w:szCs w:val="18"/>
                <w:lang w:bidi="ar"/>
              </w:rPr>
              <w:t>(十)深化智慧融合的社会治理体系</w:t>
            </w:r>
          </w:p>
        </w:tc>
      </w:tr>
      <w:tr>
        <w:tblPrEx>
          <w:tblCellMar>
            <w:top w:w="0" w:type="dxa"/>
            <w:left w:w="108" w:type="dxa"/>
            <w:bottom w:w="0" w:type="dxa"/>
            <w:right w:w="108" w:type="dxa"/>
          </w:tblCellMar>
        </w:tblPrEx>
        <w:trPr>
          <w:trHeight w:val="2076" w:hRule="atLeast"/>
        </w:trPr>
        <w:tc>
          <w:tcPr>
            <w:tcW w:w="57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24</w:t>
            </w:r>
          </w:p>
        </w:tc>
        <w:tc>
          <w:tcPr>
            <w:tcW w:w="103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Fonts w:hint="eastAsia" w:ascii="宋体" w:hAnsi="宋体"/>
                <w:color w:val="000000"/>
                <w:sz w:val="18"/>
                <w:szCs w:val="18"/>
              </w:rPr>
            </w:pPr>
            <w:r>
              <w:rPr>
                <w:rFonts w:hint="eastAsia" w:ascii="宋体" w:hAnsi="宋体"/>
                <w:color w:val="000000"/>
                <w:kern w:val="0"/>
                <w:sz w:val="18"/>
                <w:szCs w:val="18"/>
                <w:lang w:bidi="ar"/>
              </w:rPr>
              <w:t>1.深化公共安全数字化建设</w:t>
            </w: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textAlignment w:val="center"/>
              <w:rPr>
                <w:rFonts w:hint="eastAsia" w:ascii="宋体" w:hAnsi="宋体"/>
                <w:color w:val="000000"/>
                <w:sz w:val="18"/>
                <w:szCs w:val="18"/>
              </w:rPr>
            </w:pPr>
            <w:r>
              <w:rPr>
                <w:rFonts w:hint="eastAsia" w:ascii="宋体" w:hAnsi="宋体"/>
                <w:color w:val="000000"/>
                <w:kern w:val="0"/>
                <w:sz w:val="18"/>
                <w:szCs w:val="18"/>
                <w:lang w:bidi="ar"/>
              </w:rPr>
              <w:t>全力推进“数智警务”新生态建设。集成建立公安超算中心，推动全市公安信息化资源资产全部上云。统建“数字身份证”系统，逐步实现全市公安信息化各类资源资产和主体、行为均接受统一调控。打造全市公安大数据智能化体系，汇聚各类数据资源，提高大数据预处理效能。持续优化“雪亮工程”建设。扩大重点区域物联网监控设备覆盖范围，推进智慧安防小区、公共区域、重点部位的视频监控建设和覆盖，推进农村视频监控建设和联网工作</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市委政法委市公安局</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1608" w:hRule="atLeast"/>
        </w:trPr>
        <w:tc>
          <w:tcPr>
            <w:tcW w:w="57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c>
          <w:tcPr>
            <w:tcW w:w="103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rPr>
                <w:rFonts w:hint="eastAsia" w:ascii="宋体" w:hAnsi="宋体"/>
                <w:color w:val="000000"/>
                <w:sz w:val="18"/>
                <w:szCs w:val="18"/>
              </w:rPr>
            </w:pP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textAlignment w:val="center"/>
              <w:rPr>
                <w:rFonts w:hint="eastAsia" w:ascii="宋体" w:hAnsi="宋体"/>
                <w:color w:val="000000"/>
                <w:sz w:val="18"/>
                <w:szCs w:val="18"/>
              </w:rPr>
            </w:pPr>
            <w:r>
              <w:rPr>
                <w:rFonts w:hint="eastAsia" w:ascii="宋体" w:hAnsi="宋体"/>
                <w:color w:val="000000"/>
                <w:kern w:val="0"/>
                <w:sz w:val="18"/>
                <w:szCs w:val="18"/>
                <w:lang w:bidi="ar"/>
              </w:rPr>
              <w:t>大力推进“智慧交通”建设。充分利用数字化技术，建设基础支撑综合平台与六个应用平台，实现支撑技术融合、业务融合、数据融合，推进公路、水路、道路运输、综合执法等核心业务系统整合与提档升级，实现跨层级、跨地域、跨系统、跨部门、跨业务的协同管理和服务，实现共治慧治，为建设人民满意交通提供科技支撑</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市交通运输局</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2328" w:hRule="atLeast"/>
        </w:trPr>
        <w:tc>
          <w:tcPr>
            <w:tcW w:w="579" w:type="dxa"/>
            <w:vMerge w:val="restart"/>
            <w:tcBorders>
              <w:top w:val="single" w:color="000000" w:sz="4" w:space="0"/>
              <w:left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25</w:t>
            </w:r>
          </w:p>
        </w:tc>
        <w:tc>
          <w:tcPr>
            <w:tcW w:w="1032" w:type="dxa"/>
            <w:vMerge w:val="restart"/>
            <w:tcBorders>
              <w:top w:val="single" w:color="000000" w:sz="4" w:space="0"/>
              <w:left w:val="single" w:color="000000" w:sz="4" w:space="0"/>
              <w:right w:val="single" w:color="000000" w:sz="4" w:space="0"/>
            </w:tcBorders>
            <w:noWrap w:val="0"/>
            <w:vAlign w:val="center"/>
          </w:tcPr>
          <w:p>
            <w:pPr>
              <w:widowControl/>
              <w:spacing w:line="400" w:lineRule="exact"/>
              <w:textAlignment w:val="center"/>
              <w:rPr>
                <w:rFonts w:hint="eastAsia" w:ascii="宋体" w:hAnsi="宋体"/>
                <w:color w:val="000000"/>
                <w:sz w:val="18"/>
                <w:szCs w:val="18"/>
              </w:rPr>
            </w:pPr>
            <w:r>
              <w:rPr>
                <w:rFonts w:hint="eastAsia" w:ascii="宋体" w:hAnsi="宋体"/>
                <w:color w:val="000000"/>
                <w:kern w:val="0"/>
                <w:sz w:val="18"/>
                <w:szCs w:val="18"/>
                <w:lang w:bidi="ar"/>
              </w:rPr>
              <w:t>2.推进应急治理协同化建设</w:t>
            </w: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textAlignment w:val="center"/>
              <w:rPr>
                <w:rFonts w:hint="eastAsia" w:ascii="宋体" w:hAnsi="宋体"/>
                <w:color w:val="000000"/>
                <w:sz w:val="18"/>
                <w:szCs w:val="18"/>
              </w:rPr>
            </w:pPr>
            <w:r>
              <w:rPr>
                <w:rFonts w:hint="eastAsia" w:ascii="宋体" w:hAnsi="宋体"/>
                <w:color w:val="000000"/>
                <w:kern w:val="0"/>
                <w:sz w:val="18"/>
                <w:szCs w:val="18"/>
                <w:lang w:bidi="ar"/>
              </w:rPr>
              <w:t>加强重点领域应急安全数字化应用建设。深化感知网络和应急通信网络的“双网”建设，采用“省级统建，市（地）、县（市）区分级应用”的模式，建设使用应急管理综合应用平台，汇聚各类数据，推进危险化学品、地质灾害、森林防火、防汛抗旱、地震、煤矿、物资储备等重点领域应急系统建设，提高监测预警、监管执法、辅助指挥决策、救援实战、社会动员等能力，实现精准预防、精准研判、精准治理、精准处置和精准服务。提升协同应急指挥决策水平。充分利用已配备先进应急保障装备与技术储备，推动全市应急指挥中心建设，保障我市应急管理工作和区域救援工作稳步推进</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市应急局</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1092" w:hRule="atLeast"/>
        </w:trPr>
        <w:tc>
          <w:tcPr>
            <w:tcW w:w="579" w:type="dxa"/>
            <w:vMerge w:val="continue"/>
            <w:tcBorders>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p>
        </w:tc>
        <w:tc>
          <w:tcPr>
            <w:tcW w:w="1032" w:type="dxa"/>
            <w:vMerge w:val="continue"/>
            <w:tcBorders>
              <w:left w:val="single" w:color="000000" w:sz="4" w:space="0"/>
              <w:bottom w:val="single" w:color="000000" w:sz="4" w:space="0"/>
              <w:right w:val="single" w:color="000000" w:sz="4" w:space="0"/>
            </w:tcBorders>
            <w:noWrap w:val="0"/>
            <w:vAlign w:val="center"/>
          </w:tcPr>
          <w:p>
            <w:pPr>
              <w:widowControl/>
              <w:spacing w:line="400" w:lineRule="exact"/>
              <w:textAlignment w:val="center"/>
              <w:rPr>
                <w:rFonts w:hint="eastAsia" w:ascii="宋体" w:hAnsi="宋体"/>
                <w:color w:val="000000"/>
                <w:kern w:val="0"/>
                <w:sz w:val="18"/>
                <w:szCs w:val="18"/>
                <w:lang w:bidi="ar"/>
              </w:rPr>
            </w:pP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健全公共卫生应急管理体系。逐步推进全市公共卫生和疫情防控相关数据归集，建立疫情精准防控、症状监测、早期预警关键阈值和触发机制，提升传染病、突发公共卫生事件的早期发现和自动预警能力，并通过大数据汇集、实时分析、集中研判能力建设，辅助决策者精准制定措施</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市卫健委</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1492" w:hRule="atLeast"/>
        </w:trPr>
        <w:tc>
          <w:tcPr>
            <w:tcW w:w="579" w:type="dxa"/>
            <w:vMerge w:val="restart"/>
            <w:tcBorders>
              <w:top w:val="single" w:color="000000" w:sz="4" w:space="0"/>
              <w:left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26</w:t>
            </w:r>
          </w:p>
        </w:tc>
        <w:tc>
          <w:tcPr>
            <w:tcW w:w="1032" w:type="dxa"/>
            <w:vMerge w:val="restart"/>
            <w:tcBorders>
              <w:top w:val="single" w:color="000000" w:sz="4" w:space="0"/>
              <w:left w:val="single" w:color="000000" w:sz="4" w:space="0"/>
              <w:right w:val="single" w:color="000000" w:sz="4" w:space="0"/>
            </w:tcBorders>
            <w:noWrap w:val="0"/>
            <w:vAlign w:val="center"/>
          </w:tcPr>
          <w:p>
            <w:pPr>
              <w:widowControl/>
              <w:spacing w:line="400" w:lineRule="exact"/>
              <w:textAlignment w:val="center"/>
              <w:rPr>
                <w:rFonts w:hint="eastAsia" w:ascii="宋体" w:hAnsi="宋体"/>
                <w:color w:val="000000"/>
                <w:sz w:val="18"/>
                <w:szCs w:val="18"/>
              </w:rPr>
            </w:pPr>
            <w:r>
              <w:rPr>
                <w:rFonts w:hint="eastAsia" w:ascii="宋体" w:hAnsi="宋体"/>
                <w:color w:val="000000"/>
                <w:kern w:val="0"/>
                <w:sz w:val="18"/>
                <w:szCs w:val="18"/>
                <w:lang w:bidi="ar"/>
              </w:rPr>
              <w:t>3.加强基层治理智慧化建设</w:t>
            </w: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textAlignment w:val="center"/>
              <w:rPr>
                <w:rFonts w:hint="eastAsia" w:ascii="宋体" w:hAnsi="宋体"/>
                <w:color w:val="000000"/>
                <w:sz w:val="18"/>
                <w:szCs w:val="18"/>
              </w:rPr>
            </w:pPr>
            <w:r>
              <w:rPr>
                <w:rFonts w:hint="eastAsia" w:ascii="宋体" w:hAnsi="宋体"/>
                <w:color w:val="000000"/>
                <w:kern w:val="0"/>
                <w:sz w:val="18"/>
                <w:szCs w:val="18"/>
                <w:lang w:bidi="ar"/>
              </w:rPr>
              <w:t>加强数字住建建设。整合集成全市住建领域信息资源，推动全市城乡建设管理数字化转型，加快推进“数字住建”建设，重点围绕住房管理、工程建造、城乡建设和城市管理等方面，重点推进“数字住建”主题数据资源中心、城市信息模型（CIM）平台、数字住房、数字建设、数字建造、数字城乡，大力推进全市住建领域治理体系和治理能力现代化</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市住建局</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100" w:hRule="atLeast"/>
        </w:trPr>
        <w:tc>
          <w:tcPr>
            <w:tcW w:w="579" w:type="dxa"/>
            <w:vMerge w:val="continue"/>
            <w:tcBorders>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p>
        </w:tc>
        <w:tc>
          <w:tcPr>
            <w:tcW w:w="1032" w:type="dxa"/>
            <w:vMerge w:val="continue"/>
            <w:tcBorders>
              <w:left w:val="single" w:color="000000" w:sz="4" w:space="0"/>
              <w:bottom w:val="single" w:color="000000" w:sz="4" w:space="0"/>
              <w:right w:val="single" w:color="000000" w:sz="4" w:space="0"/>
            </w:tcBorders>
            <w:noWrap w:val="0"/>
            <w:vAlign w:val="center"/>
          </w:tcPr>
          <w:p>
            <w:pPr>
              <w:widowControl/>
              <w:spacing w:line="400" w:lineRule="exact"/>
              <w:textAlignment w:val="center"/>
              <w:rPr>
                <w:rFonts w:hint="eastAsia" w:ascii="宋体" w:hAnsi="宋体"/>
                <w:color w:val="000000"/>
                <w:kern w:val="0"/>
                <w:sz w:val="18"/>
                <w:szCs w:val="18"/>
                <w:lang w:bidi="ar"/>
              </w:rPr>
            </w:pP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推进各级综治中心规范化建设，强化系统集成、数据融合和网络安全保障。优化完善各级网格化综合治理平台。以网格为载体，推动相关信息基础设施共建共享、互联互通、开放兼容，形成“横向到边、纵向到底”的多元网络化联动治理体系。实施“互联网＋基层治理”行动。完善乡镇（街道）、村（社区）地理信息等基地数据，推动基层治理数据资源共享</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市委政法委</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市民政局</w:t>
            </w:r>
          </w:p>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市自然资源局</w:t>
            </w:r>
          </w:p>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市营商局</w:t>
            </w:r>
          </w:p>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348" w:hRule="atLeast"/>
        </w:trPr>
        <w:tc>
          <w:tcPr>
            <w:tcW w:w="12855"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1" w:firstLineChars="200"/>
              <w:jc w:val="center"/>
              <w:rPr>
                <w:rFonts w:hint="eastAsia" w:ascii="宋体" w:hAnsi="宋体"/>
                <w:color w:val="000000"/>
                <w:sz w:val="18"/>
                <w:szCs w:val="18"/>
              </w:rPr>
            </w:pPr>
            <w:r>
              <w:rPr>
                <w:rFonts w:hint="eastAsia" w:ascii="宋体" w:hAnsi="宋体"/>
                <w:b/>
                <w:bCs/>
                <w:color w:val="000000"/>
                <w:kern w:val="0"/>
                <w:sz w:val="18"/>
                <w:szCs w:val="18"/>
                <w:lang w:bidi="ar"/>
              </w:rPr>
              <w:t>(十一)打造协同创新的丹江特色体系</w:t>
            </w:r>
          </w:p>
        </w:tc>
      </w:tr>
      <w:tr>
        <w:tblPrEx>
          <w:tblCellMar>
            <w:top w:w="0" w:type="dxa"/>
            <w:left w:w="108" w:type="dxa"/>
            <w:bottom w:w="0" w:type="dxa"/>
            <w:right w:w="108" w:type="dxa"/>
          </w:tblCellMar>
        </w:tblPrEx>
        <w:trPr>
          <w:trHeight w:val="90" w:hRule="atLeast"/>
        </w:trPr>
        <w:tc>
          <w:tcPr>
            <w:tcW w:w="57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27</w:t>
            </w:r>
          </w:p>
        </w:tc>
        <w:tc>
          <w:tcPr>
            <w:tcW w:w="10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textAlignment w:val="center"/>
              <w:rPr>
                <w:rFonts w:hint="eastAsia" w:ascii="宋体" w:hAnsi="宋体"/>
                <w:color w:val="000000"/>
                <w:sz w:val="18"/>
                <w:szCs w:val="18"/>
              </w:rPr>
            </w:pPr>
            <w:r>
              <w:rPr>
                <w:rFonts w:hint="eastAsia" w:ascii="宋体" w:hAnsi="宋体"/>
                <w:color w:val="000000"/>
                <w:kern w:val="0"/>
                <w:sz w:val="18"/>
                <w:szCs w:val="18"/>
                <w:lang w:bidi="ar"/>
              </w:rPr>
              <w:t>1.提升全市经济调节能力</w:t>
            </w: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textAlignment w:val="center"/>
              <w:rPr>
                <w:rFonts w:hint="eastAsia" w:ascii="宋体" w:hAnsi="宋体"/>
                <w:color w:val="000000"/>
                <w:sz w:val="18"/>
                <w:szCs w:val="18"/>
              </w:rPr>
            </w:pPr>
            <w:r>
              <w:rPr>
                <w:rFonts w:hint="eastAsia" w:ascii="宋体" w:hAnsi="宋体"/>
                <w:color w:val="000000"/>
                <w:kern w:val="0"/>
                <w:sz w:val="18"/>
                <w:szCs w:val="18"/>
                <w:lang w:bidi="ar"/>
              </w:rPr>
              <w:t>加强宏观经济运行情况分析监测。积极跟进全省宏观经济运行数字化、信息化建设，推动基础数据分类采集、集成共享。利用重点领域分析模型，多维度、多领域实时展现全市经济运行状态，为市委、市政府调度经济、发展经济提供高质量、高效率的决策依据</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市发改委</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市统计局</w:t>
            </w:r>
          </w:p>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3964" w:hRule="atLeast"/>
        </w:trPr>
        <w:tc>
          <w:tcPr>
            <w:tcW w:w="57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28</w:t>
            </w:r>
          </w:p>
        </w:tc>
        <w:tc>
          <w:tcPr>
            <w:tcW w:w="10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textAlignment w:val="center"/>
              <w:rPr>
                <w:rFonts w:hint="eastAsia" w:ascii="宋体" w:hAnsi="宋体"/>
                <w:color w:val="000000"/>
                <w:sz w:val="18"/>
                <w:szCs w:val="18"/>
              </w:rPr>
            </w:pPr>
            <w:r>
              <w:rPr>
                <w:rFonts w:hint="eastAsia" w:ascii="宋体" w:hAnsi="宋体"/>
                <w:color w:val="000000"/>
                <w:kern w:val="0"/>
                <w:sz w:val="18"/>
                <w:szCs w:val="18"/>
                <w:lang w:bidi="ar"/>
              </w:rPr>
              <w:t>2.推动数字农业、智慧农业建设</w:t>
            </w: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textAlignment w:val="center"/>
              <w:rPr>
                <w:rFonts w:hint="eastAsia" w:ascii="宋体" w:hAnsi="宋体"/>
                <w:color w:val="000000"/>
                <w:sz w:val="18"/>
                <w:szCs w:val="18"/>
              </w:rPr>
            </w:pPr>
            <w:r>
              <w:rPr>
                <w:rFonts w:hint="eastAsia" w:ascii="宋体" w:hAnsi="宋体"/>
                <w:color w:val="000000"/>
                <w:kern w:val="0"/>
                <w:sz w:val="18"/>
                <w:szCs w:val="18"/>
                <w:lang w:bidi="ar"/>
              </w:rPr>
              <w:t>以数字化技术支撑国家粮食安全产业带核心区建设，农业供给侧结构性改革与黑土地保护，充分发挥农业大省优势，当好维护国家粮食安全的“压舱石”。建设高标准农田地理信息监管平台。完善自然资源遥感监测“一张图”，大力推广北斗卫星导航系统、高分辨率对地观测系统在农业生产中的应用，筑牢农业数字化发展根基。强化数字农业综合服务。推动信息化与农机装备、作业和管理融合应用，探索建立农业气象灾害、动植物重大病虫害、生物灾害、生态环境灾害、供需监测等预警监测平台和农业应急指挥数字化体系，推广普惠金融数字化服务，全面提高农业农村智能化服务水平。加强农业农村数字化监管。完善农产品质量安全追溯公共服务平台，建立以食用农产品质量合格为核心内容的产地准出管理与市场准入管理衔接机制。建设黑土地土壤养分数字档案，推进合理施肥，减少无机化学肥料施入，提升黑土地地力。建设农作（动）物安全监管数字化体系，推进黑土地保护、高标准农田建设、工业大麻全产业链和农村人居环境治理的数字化监管</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市农业农村局</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市工信局</w:t>
            </w:r>
          </w:p>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市公安局</w:t>
            </w:r>
          </w:p>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市自然资源局</w:t>
            </w:r>
          </w:p>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市生态环境局</w:t>
            </w:r>
          </w:p>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市市场监管局</w:t>
            </w:r>
          </w:p>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市气象局</w:t>
            </w:r>
          </w:p>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3544" w:hRule="atLeast"/>
        </w:trPr>
        <w:tc>
          <w:tcPr>
            <w:tcW w:w="57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29</w:t>
            </w:r>
          </w:p>
        </w:tc>
        <w:tc>
          <w:tcPr>
            <w:tcW w:w="103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textAlignment w:val="center"/>
              <w:rPr>
                <w:rFonts w:hint="eastAsia" w:ascii="宋体" w:hAnsi="宋体"/>
                <w:color w:val="000000"/>
                <w:sz w:val="18"/>
                <w:szCs w:val="18"/>
              </w:rPr>
            </w:pPr>
            <w:r>
              <w:rPr>
                <w:rFonts w:hint="eastAsia" w:ascii="宋体" w:hAnsi="宋体"/>
                <w:color w:val="000000"/>
                <w:kern w:val="0"/>
                <w:sz w:val="18"/>
                <w:szCs w:val="18"/>
                <w:lang w:bidi="ar"/>
              </w:rPr>
              <w:t>3.推动智慧旅游、智慧文化建设</w:t>
            </w:r>
          </w:p>
        </w:tc>
        <w:tc>
          <w:tcPr>
            <w:tcW w:w="83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textAlignment w:val="center"/>
              <w:rPr>
                <w:rFonts w:hint="eastAsia" w:ascii="宋体" w:hAnsi="宋体"/>
                <w:color w:val="000000"/>
                <w:sz w:val="18"/>
                <w:szCs w:val="18"/>
              </w:rPr>
            </w:pPr>
            <w:r>
              <w:rPr>
                <w:rFonts w:hint="eastAsia" w:ascii="宋体" w:hAnsi="宋体"/>
                <w:color w:val="000000"/>
                <w:kern w:val="0"/>
                <w:sz w:val="18"/>
                <w:szCs w:val="18"/>
                <w:lang w:bidi="ar"/>
              </w:rPr>
              <w:t>以数字化技术的应用与支撑，着力发展特色地域文化，打造宜居宜行宜游宜养全域旅游品牌，推进文化强市建设，实现“旅游富市”目标。优化升级智慧旅游平台建设。整合全域文化和旅游数据资源，推动文化游、冰雪游、生态游、边境游、自驾游、避暑游和运动休闲游等特色旅游发展，形成“全市旅游一张网”，加快与省级平台和国内知名旅游平台互通互联。提高“镜泊湖景·林海雪原”“北国好风光·美在牡丹江”“冰雪胜境·避暑天堂”等旅游宣传品牌的认知度和市场影响力。充分利用大数据精准开展靶向营销，加强运用新媒体、新技术宣传推介旅游品牌和旅游产品，培育特色旅游产品品牌、节庆品牌、街区品牌和文创品牌，加快智慧景区、智慧酒店、智慧民宿建设，进一步丰富和提升旅行服务体验。推进文化大数据体系建设。加快实现城乡公共文化服务体系一体化和数字化，建立开放共享的文化资源数据平台，推动优秀传统文化创造性转化、创新性发展，提升地域文化的感召力和影响力</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市文旅局</w:t>
            </w:r>
          </w:p>
        </w:tc>
        <w:tc>
          <w:tcPr>
            <w:tcW w:w="16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lNGE4N2Y3ZDZlZjNmMTZhNTEyMDgzNTg0MTcxZGQifQ=="/>
  </w:docVars>
  <w:rsids>
    <w:rsidRoot w:val="53233497"/>
    <w:rsid w:val="532334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uiPriority w:val="0"/>
    <w:pPr>
      <w:widowControl w:val="0"/>
      <w:jc w:val="both"/>
    </w:pPr>
    <w:rPr>
      <w:rFonts w:ascii="Calibri" w:hAnsi="Calibri" w:eastAsia="宋体" w:cs="宋体"/>
      <w:kern w:val="2"/>
      <w:sz w:val="21"/>
      <w:szCs w:val="24"/>
      <w:lang w:val="en-US" w:eastAsia="zh-CN" w:bidi="ar-SA"/>
    </w:rPr>
  </w:style>
  <w:style w:type="character" w:default="1" w:styleId="5">
    <w:name w:val="Default Paragraph Font"/>
    <w:semiHidden/>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2024-03-02T02:19:00Z</dcterms:created>
  <dc:creator>Administrator</dc:creator>
  <cp:lastModifiedBy>Administrator</cp:lastModifiedBy>
  <dcterms:modified xsi:type="dcterms:W3CDTF">2024-03-02T02:20:34Z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475A2C5B684746C2BD5DCF47A88BF920_11</vt:lpwstr>
  </property>
</Properties>
</file>